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F0FA" w14:textId="77777777" w:rsidR="008629C4" w:rsidRDefault="008629C4" w:rsidP="008629C4">
      <w:bookmarkStart w:id="0" w:name="_GoBack"/>
      <w:bookmarkEnd w:id="0"/>
    </w:p>
    <w:p w14:paraId="606177AB" w14:textId="77777777" w:rsidR="008629C4" w:rsidRDefault="008629C4" w:rsidP="008629C4"/>
    <w:p w14:paraId="03CC8CF3" w14:textId="77777777" w:rsidR="00422715" w:rsidRDefault="00422715" w:rsidP="004F5374">
      <w:pPr>
        <w:pStyle w:val="Title"/>
        <w:tabs>
          <w:tab w:val="left" w:pos="3375"/>
        </w:tabs>
        <w:spacing w:before="0" w:after="240"/>
        <w:ind w:left="-187" w:firstLine="187"/>
        <w:jc w:val="center"/>
        <w:rPr>
          <w:i/>
          <w:lang w:val="en-US"/>
        </w:rPr>
      </w:pPr>
    </w:p>
    <w:p w14:paraId="022BD38F" w14:textId="77777777" w:rsidR="00422715" w:rsidRDefault="00666928" w:rsidP="004F5374">
      <w:pPr>
        <w:pStyle w:val="Title"/>
        <w:tabs>
          <w:tab w:val="left" w:pos="3375"/>
        </w:tabs>
        <w:spacing w:before="0" w:after="240"/>
        <w:ind w:left="-187" w:firstLine="187"/>
        <w:jc w:val="center"/>
        <w:rPr>
          <w:i/>
          <w:lang w:val="en-US"/>
        </w:rPr>
      </w:pPr>
      <w:r w:rsidRPr="004F5374">
        <w:rPr>
          <w:i/>
          <w:lang w:val="en-US"/>
        </w:rPr>
        <w:t>Hospital Care Improvement Program (HCIP)</w:t>
      </w:r>
      <w:r w:rsidR="003047DD" w:rsidRPr="004F5374">
        <w:rPr>
          <w:i/>
          <w:lang w:val="en-US"/>
        </w:rPr>
        <w:t xml:space="preserve"> Administrator</w:t>
      </w:r>
    </w:p>
    <w:p w14:paraId="501E2E91" w14:textId="665FC9C6" w:rsidR="008629C4" w:rsidRPr="004F5374" w:rsidRDefault="003D43C4" w:rsidP="004F5374">
      <w:pPr>
        <w:pStyle w:val="Title"/>
        <w:tabs>
          <w:tab w:val="left" w:pos="3375"/>
        </w:tabs>
        <w:spacing w:before="0" w:after="240"/>
        <w:ind w:left="-187" w:firstLine="187"/>
        <w:jc w:val="center"/>
        <w:rPr>
          <w:i/>
          <w:lang w:val="en-US"/>
        </w:rPr>
      </w:pPr>
      <w:r w:rsidRPr="004F5374">
        <w:rPr>
          <w:i/>
          <w:lang w:val="en-US"/>
        </w:rPr>
        <w:t xml:space="preserve"> </w:t>
      </w:r>
    </w:p>
    <w:p w14:paraId="30ED6364" w14:textId="77777777" w:rsidR="008629C4" w:rsidRDefault="008629C4" w:rsidP="008629C4">
      <w:pPr>
        <w:pStyle w:val="Title"/>
        <w:shd w:val="clear" w:color="auto" w:fill="auto"/>
        <w:tabs>
          <w:tab w:val="left" w:pos="3375"/>
        </w:tabs>
        <w:rPr>
          <w:i/>
          <w:color w:val="auto"/>
          <w:sz w:val="36"/>
          <w:szCs w:val="36"/>
        </w:rPr>
      </w:pPr>
    </w:p>
    <w:p w14:paraId="1E0AD0B1" w14:textId="60F4A511" w:rsidR="008629C4" w:rsidRDefault="004F5374" w:rsidP="008629C4">
      <w:pPr>
        <w:pStyle w:val="Title"/>
        <w:shd w:val="clear" w:color="auto" w:fill="auto"/>
        <w:tabs>
          <w:tab w:val="left" w:pos="3375"/>
        </w:tabs>
        <w:ind w:left="-180" w:firstLine="180"/>
        <w:jc w:val="center"/>
        <w:rPr>
          <w:i/>
          <w:color w:val="auto"/>
          <w:sz w:val="36"/>
          <w:szCs w:val="36"/>
        </w:rPr>
      </w:pPr>
      <w:r>
        <w:rPr>
          <w:i/>
          <w:color w:val="auto"/>
          <w:sz w:val="36"/>
          <w:szCs w:val="36"/>
        </w:rPr>
        <w:t>Request for Proposal</w:t>
      </w:r>
      <w:r w:rsidR="003E2E5C">
        <w:rPr>
          <w:i/>
          <w:color w:val="auto"/>
          <w:sz w:val="36"/>
          <w:szCs w:val="36"/>
        </w:rPr>
        <w:t xml:space="preserve"> </w:t>
      </w:r>
    </w:p>
    <w:p w14:paraId="0ECAD380" w14:textId="363019BC" w:rsidR="008629C4" w:rsidRPr="00A74E6A" w:rsidRDefault="00A74E6A" w:rsidP="00A74E6A">
      <w:pPr>
        <w:jc w:val="center"/>
        <w:rPr>
          <w:b/>
        </w:rPr>
      </w:pPr>
      <w:r w:rsidRPr="00DA7A12">
        <w:rPr>
          <w:b/>
        </w:rPr>
        <w:t>CRISP will consider bids to complete one or more subsets of the scope of work.</w:t>
      </w:r>
    </w:p>
    <w:p w14:paraId="2EDD7DB2" w14:textId="77777777" w:rsidR="00422715" w:rsidRDefault="00422715" w:rsidP="008629C4">
      <w:pPr>
        <w:rPr>
          <w:b/>
        </w:rPr>
      </w:pPr>
    </w:p>
    <w:p w14:paraId="5947EC7D" w14:textId="77777777" w:rsidR="00422715" w:rsidRDefault="00422715" w:rsidP="008629C4">
      <w:pPr>
        <w:rPr>
          <w:b/>
        </w:rPr>
      </w:pPr>
    </w:p>
    <w:p w14:paraId="555B6924" w14:textId="77777777" w:rsidR="00422715" w:rsidRDefault="00422715" w:rsidP="008629C4"/>
    <w:p w14:paraId="16208EF9" w14:textId="4B11926D" w:rsidR="008629C4" w:rsidRPr="00422715" w:rsidRDefault="00C6691B" w:rsidP="008629C4">
      <w:pPr>
        <w:jc w:val="center"/>
      </w:pPr>
      <w:r>
        <w:t>Request for Proposal</w:t>
      </w:r>
      <w:r w:rsidR="008629C4" w:rsidRPr="00562FEA">
        <w:t xml:space="preserve"> Issue Date</w:t>
      </w:r>
      <w:r w:rsidR="008629C4" w:rsidRPr="00422715">
        <w:t xml:space="preserve">: </w:t>
      </w:r>
      <w:r w:rsidR="004F2FEA" w:rsidRPr="00422715">
        <w:t xml:space="preserve">March </w:t>
      </w:r>
      <w:r w:rsidR="00422715" w:rsidRPr="00422715">
        <w:t>15</w:t>
      </w:r>
      <w:r w:rsidR="008629C4" w:rsidRPr="00422715">
        <w:t>, 201</w:t>
      </w:r>
      <w:r w:rsidR="00666928" w:rsidRPr="00422715">
        <w:t>7</w:t>
      </w:r>
    </w:p>
    <w:p w14:paraId="7A19A625" w14:textId="70BE2E5D" w:rsidR="008629C4" w:rsidRDefault="008629C4" w:rsidP="008629C4">
      <w:pPr>
        <w:jc w:val="center"/>
      </w:pPr>
      <w:r w:rsidRPr="00422715">
        <w:t xml:space="preserve">Proposals Due: </w:t>
      </w:r>
      <w:r w:rsidR="00F127CF" w:rsidRPr="00422715">
        <w:t xml:space="preserve">April </w:t>
      </w:r>
      <w:r w:rsidR="00422715" w:rsidRPr="00422715">
        <w:t>10</w:t>
      </w:r>
      <w:r w:rsidRPr="00422715">
        <w:t xml:space="preserve">, </w:t>
      </w:r>
      <w:r w:rsidR="00B779F9" w:rsidRPr="00422715">
        <w:t>2017</w:t>
      </w:r>
    </w:p>
    <w:p w14:paraId="4507C26A" w14:textId="77777777" w:rsidR="008629C4" w:rsidRDefault="008629C4" w:rsidP="00613B48"/>
    <w:p w14:paraId="374869AD" w14:textId="77777777" w:rsidR="00422715" w:rsidRDefault="00422715" w:rsidP="00613B48"/>
    <w:p w14:paraId="55BA48C7" w14:textId="77777777" w:rsidR="008629C4" w:rsidRDefault="008629C4" w:rsidP="008629C4">
      <w:pPr>
        <w:jc w:val="center"/>
      </w:pPr>
      <w:r>
        <w:t>Chesapeake Regional Information System for our Patients</w:t>
      </w:r>
    </w:p>
    <w:p w14:paraId="6686E630" w14:textId="77777777" w:rsidR="008629C4" w:rsidRDefault="008629C4" w:rsidP="008629C4">
      <w:pPr>
        <w:jc w:val="center"/>
      </w:pPr>
      <w:r>
        <w:t>7160 Columbia Gateway Drive, Suite 230</w:t>
      </w:r>
    </w:p>
    <w:p w14:paraId="6039AEDB" w14:textId="77777777" w:rsidR="008629C4" w:rsidRDefault="008629C4" w:rsidP="008629C4">
      <w:pPr>
        <w:spacing w:after="0"/>
        <w:jc w:val="center"/>
      </w:pPr>
      <w:r>
        <w:t>Columbia, Maryland 21046</w:t>
      </w:r>
    </w:p>
    <w:p w14:paraId="1FF5E539" w14:textId="77777777" w:rsidR="008629C4" w:rsidRDefault="008629C4" w:rsidP="008629C4">
      <w:pPr>
        <w:pStyle w:val="Heading1"/>
        <w:keepLines/>
        <w:pageBreakBefore/>
        <w:numPr>
          <w:ilvl w:val="0"/>
          <w:numId w:val="1"/>
        </w:numPr>
        <w:spacing w:before="480" w:after="0" w:line="276" w:lineRule="auto"/>
        <w:ind w:left="630"/>
        <w:contextualSpacing w:val="0"/>
      </w:pPr>
      <w:r>
        <w:lastRenderedPageBreak/>
        <w:t>Overview and Objective</w:t>
      </w:r>
    </w:p>
    <w:p w14:paraId="37677122" w14:textId="77777777" w:rsidR="008629C4" w:rsidRDefault="00774CBD" w:rsidP="008629C4">
      <w:pPr>
        <w:pStyle w:val="Heading2"/>
      </w:pPr>
      <w:r>
        <w:t>HCIP</w:t>
      </w:r>
      <w:r w:rsidR="008629C4">
        <w:t xml:space="preserve"> Overview and Background</w:t>
      </w:r>
    </w:p>
    <w:p w14:paraId="166BEC63" w14:textId="77777777" w:rsidR="008629C4" w:rsidRDefault="008629C4" w:rsidP="008629C4">
      <w:r w:rsidRPr="003F508C">
        <w:t xml:space="preserve">Chesapeake Regional Information System for Our Patients, Inc. (CRISP) is an independent not-for-profit membership corporation </w:t>
      </w:r>
      <w:r w:rsidR="00851B2E">
        <w:t>that</w:t>
      </w:r>
      <w:r w:rsidR="00FB04F5" w:rsidRPr="003F508C">
        <w:t xml:space="preserve"> </w:t>
      </w:r>
      <w:r w:rsidRPr="003F508C">
        <w:t>operates a health information exchange (HIE) serving the Maryland and District of Columbia region</w:t>
      </w:r>
      <w:r w:rsidR="00F17853">
        <w:t xml:space="preserve"> and engaging </w:t>
      </w:r>
      <w:r w:rsidR="00FB04F5">
        <w:t>with West Virginia for shared HIE infrastructure</w:t>
      </w:r>
      <w:r w:rsidRPr="003F508C">
        <w:t xml:space="preserve">. </w:t>
      </w:r>
      <w:r w:rsidR="00FB04F5">
        <w:t>Our</w:t>
      </w:r>
      <w:r w:rsidR="00FB04F5" w:rsidRPr="003F508C">
        <w:t xml:space="preserve"> </w:t>
      </w:r>
      <w:r w:rsidRPr="003F508C">
        <w:t xml:space="preserve">participants include each of the acute </w:t>
      </w:r>
      <w:r w:rsidR="004E30FF">
        <w:t xml:space="preserve">and </w:t>
      </w:r>
      <w:r w:rsidRPr="003F508C">
        <w:t>general care hospitals in Maryland and the District of Columbia as well as numerous other facilities and providers of care.</w:t>
      </w:r>
      <w:r w:rsidR="00FB04F5">
        <w:t xml:space="preserve"> </w:t>
      </w:r>
      <w:r w:rsidR="00851B2E">
        <w:t xml:space="preserve"> </w:t>
      </w:r>
    </w:p>
    <w:p w14:paraId="45584CEF" w14:textId="77777777" w:rsidR="00851B2E" w:rsidRDefault="00851B2E" w:rsidP="00851B2E">
      <w:r w:rsidRPr="003F508C">
        <w:t xml:space="preserve">CRISP </w:t>
      </w:r>
      <w:r w:rsidR="00C613FA">
        <w:t>is providing</w:t>
      </w:r>
      <w:r w:rsidRPr="003F508C">
        <w:t xml:space="preserve"> state-level infrastructure to support care coordination and care management efforts </w:t>
      </w:r>
      <w:r w:rsidR="00C613FA">
        <w:t>consistent with</w:t>
      </w:r>
      <w:r w:rsidRPr="003F508C">
        <w:t xml:space="preserve"> Maryland’s goals for quality improvement and cost control as defined by the State’s All-Payer Model contract with </w:t>
      </w:r>
      <w:r w:rsidRPr="00D516C1">
        <w:t>the Center</w:t>
      </w:r>
      <w:r w:rsidR="00D516C1" w:rsidRPr="008B14BC">
        <w:t>s</w:t>
      </w:r>
      <w:r w:rsidRPr="00D516C1">
        <w:t xml:space="preserve"> for Medicare and Medicaid </w:t>
      </w:r>
      <w:r w:rsidR="00D516C1" w:rsidRPr="00582AC4">
        <w:t>Services</w:t>
      </w:r>
      <w:r w:rsidR="00D516C1">
        <w:t xml:space="preserve"> (CMS)</w:t>
      </w:r>
      <w:r w:rsidRPr="003F508C">
        <w:t xml:space="preserve">. </w:t>
      </w:r>
      <w:r w:rsidRPr="003F508C" w:rsidDel="0058529D">
        <w:t xml:space="preserve">The </w:t>
      </w:r>
      <w:r>
        <w:t>Maryland Health Services Cost Review Commission (</w:t>
      </w:r>
      <w:r w:rsidRPr="003F508C" w:rsidDel="0058529D">
        <w:t>HSCRC</w:t>
      </w:r>
      <w:r>
        <w:t>)</w:t>
      </w:r>
      <w:r w:rsidRPr="003F508C" w:rsidDel="0058529D">
        <w:t xml:space="preserve"> </w:t>
      </w:r>
      <w:r w:rsidRPr="003F508C">
        <w:t>has funded</w:t>
      </w:r>
      <w:r w:rsidRPr="003F508C" w:rsidDel="0058529D">
        <w:t xml:space="preserve"> CRISP to </w:t>
      </w:r>
      <w:r>
        <w:t>lead</w:t>
      </w:r>
      <w:r w:rsidRPr="003F508C" w:rsidDel="0058529D">
        <w:t xml:space="preserve"> the</w:t>
      </w:r>
      <w:r>
        <w:t xml:space="preserve"> State’s</w:t>
      </w:r>
      <w:r w:rsidRPr="003F508C" w:rsidDel="0058529D">
        <w:t xml:space="preserve"> Integrated Care Network</w:t>
      </w:r>
      <w:r w:rsidRPr="003F508C">
        <w:t xml:space="preserve"> </w:t>
      </w:r>
      <w:r w:rsidR="00C613FA">
        <w:t xml:space="preserve">(ICN) </w:t>
      </w:r>
      <w:r>
        <w:t xml:space="preserve">initiative </w:t>
      </w:r>
      <w:r w:rsidRPr="003F508C">
        <w:t xml:space="preserve">geared toward </w:t>
      </w:r>
      <w:r>
        <w:t xml:space="preserve">caring for those patients with the greatest and most </w:t>
      </w:r>
      <w:r w:rsidRPr="00F90309">
        <w:t xml:space="preserve">complex needs. </w:t>
      </w:r>
      <w:r w:rsidR="00F90309" w:rsidRPr="00F90309">
        <w:t xml:space="preserve"> </w:t>
      </w:r>
      <w:r w:rsidR="00C613FA" w:rsidRPr="00F90309">
        <w:t xml:space="preserve">An important function of CRISP is to </w:t>
      </w:r>
      <w:r w:rsidR="00A775F0">
        <w:t>work with</w:t>
      </w:r>
      <w:r w:rsidR="00C613FA" w:rsidRPr="00F90309">
        <w:t xml:space="preserve"> stakeholders across the public sector and industry to develop approaches for advancing the goals of the All-Payer Model</w:t>
      </w:r>
      <w:r w:rsidR="00C613FA" w:rsidRPr="003F508C">
        <w:t xml:space="preserve">.  </w:t>
      </w:r>
    </w:p>
    <w:p w14:paraId="678C44CA" w14:textId="77777777" w:rsidR="00851B2E" w:rsidRPr="00AC02AE" w:rsidRDefault="00851B2E" w:rsidP="00851B2E">
      <w:pPr>
        <w:rPr>
          <w:rFonts w:asciiTheme="minorHAnsi" w:hAnsiTheme="minorHAnsi"/>
          <w:szCs w:val="22"/>
        </w:rPr>
      </w:pPr>
      <w:r w:rsidRPr="00AC02AE">
        <w:rPr>
          <w:rFonts w:asciiTheme="minorHAnsi" w:hAnsiTheme="minorHAnsi"/>
          <w:szCs w:val="22"/>
        </w:rPr>
        <w:t>In response to stakeholders’ requests for greater provider alignment and transformation tools under the All-Payer Model, the State proposed</w:t>
      </w:r>
      <w:r>
        <w:rPr>
          <w:rFonts w:asciiTheme="minorHAnsi" w:hAnsiTheme="minorHAnsi"/>
          <w:szCs w:val="22"/>
        </w:rPr>
        <w:t xml:space="preserve"> and </w:t>
      </w:r>
      <w:r w:rsidR="00ED4D01">
        <w:rPr>
          <w:rFonts w:asciiTheme="minorHAnsi" w:hAnsiTheme="minorHAnsi"/>
          <w:szCs w:val="22"/>
        </w:rPr>
        <w:t xml:space="preserve">CMS </w:t>
      </w:r>
      <w:r>
        <w:rPr>
          <w:rFonts w:asciiTheme="minorHAnsi" w:hAnsiTheme="minorHAnsi"/>
          <w:szCs w:val="22"/>
        </w:rPr>
        <w:t>approved</w:t>
      </w:r>
      <w:r w:rsidRPr="00AC02AE">
        <w:rPr>
          <w:rFonts w:asciiTheme="minorHAnsi" w:hAnsiTheme="minorHAnsi"/>
          <w:szCs w:val="22"/>
        </w:rPr>
        <w:t xml:space="preserve"> a C</w:t>
      </w:r>
      <w:r w:rsidR="005C24AB">
        <w:rPr>
          <w:rFonts w:asciiTheme="minorHAnsi" w:hAnsiTheme="minorHAnsi"/>
          <w:szCs w:val="22"/>
        </w:rPr>
        <w:t xml:space="preserve">are Redesign Amendment </w:t>
      </w:r>
      <w:r w:rsidRPr="00AC02AE">
        <w:rPr>
          <w:rFonts w:asciiTheme="minorHAnsi" w:hAnsiTheme="minorHAnsi"/>
          <w:szCs w:val="22"/>
        </w:rPr>
        <w:t>to the All-Payer Model. The Amendment aims to modify the All-Payer Model by supporting:</w:t>
      </w:r>
    </w:p>
    <w:p w14:paraId="0B37DCAB" w14:textId="77777777" w:rsidR="00851B2E" w:rsidRPr="00851B2E" w:rsidRDefault="00851B2E" w:rsidP="00851B2E">
      <w:pPr>
        <w:pStyle w:val="ListParagraph"/>
        <w:numPr>
          <w:ilvl w:val="0"/>
          <w:numId w:val="17"/>
        </w:numPr>
      </w:pPr>
      <w:r w:rsidRPr="00851B2E">
        <w:t>Effective care management and population health activities;</w:t>
      </w:r>
    </w:p>
    <w:p w14:paraId="79193315" w14:textId="77777777" w:rsidR="00851B2E" w:rsidRPr="00851B2E" w:rsidRDefault="00851B2E" w:rsidP="00851B2E">
      <w:pPr>
        <w:pStyle w:val="ListParagraph"/>
        <w:numPr>
          <w:ilvl w:val="0"/>
          <w:numId w:val="17"/>
        </w:numPr>
      </w:pPr>
      <w:r w:rsidRPr="00851B2E">
        <w:t xml:space="preserve">Improvement in care for high and rising </w:t>
      </w:r>
      <w:r w:rsidR="00FA3A30">
        <w:t>need</w:t>
      </w:r>
      <w:r w:rsidR="00FA3A30" w:rsidRPr="00851B2E">
        <w:t xml:space="preserve"> </w:t>
      </w:r>
      <w:r w:rsidRPr="00851B2E">
        <w:t>populations;</w:t>
      </w:r>
    </w:p>
    <w:p w14:paraId="56C997DA" w14:textId="77777777" w:rsidR="00851B2E" w:rsidRPr="00851B2E" w:rsidRDefault="00851B2E" w:rsidP="00851B2E">
      <w:pPr>
        <w:pStyle w:val="ListParagraph"/>
        <w:numPr>
          <w:ilvl w:val="0"/>
          <w:numId w:val="17"/>
        </w:numPr>
      </w:pPr>
      <w:r w:rsidRPr="00851B2E">
        <w:t>Efforts to provide high quality, efficient, well-coordinated episodes of care;</w:t>
      </w:r>
    </w:p>
    <w:p w14:paraId="0ED35D57" w14:textId="77777777" w:rsidR="00851B2E" w:rsidRPr="00851B2E" w:rsidRDefault="00851B2E" w:rsidP="00851B2E">
      <w:pPr>
        <w:pStyle w:val="ListParagraph"/>
        <w:numPr>
          <w:ilvl w:val="0"/>
          <w:numId w:val="17"/>
        </w:numPr>
      </w:pPr>
      <w:r w:rsidRPr="00851B2E">
        <w:t xml:space="preserve">Hospitals and their </w:t>
      </w:r>
      <w:r>
        <w:t>c</w:t>
      </w:r>
      <w:r w:rsidRPr="00851B2E">
        <w:t xml:space="preserve">are </w:t>
      </w:r>
      <w:r>
        <w:t>p</w:t>
      </w:r>
      <w:r w:rsidRPr="00851B2E">
        <w:t>artners in monitoring and controlling Medicare beneficiaries’ Total Cost of Care (TCOC) growth; and</w:t>
      </w:r>
    </w:p>
    <w:p w14:paraId="5DB08F98" w14:textId="77777777" w:rsidR="00851B2E" w:rsidRPr="00851B2E" w:rsidRDefault="00851B2E" w:rsidP="00851B2E">
      <w:pPr>
        <w:pStyle w:val="ListParagraph"/>
        <w:numPr>
          <w:ilvl w:val="0"/>
          <w:numId w:val="17"/>
        </w:numPr>
      </w:pPr>
      <w:r w:rsidRPr="00851B2E">
        <w:t>The next steps toward delivery system transformation.</w:t>
      </w:r>
    </w:p>
    <w:p w14:paraId="5981B4E0" w14:textId="77777777" w:rsidR="00851B2E" w:rsidRPr="00851B2E" w:rsidRDefault="00851B2E" w:rsidP="00851B2E">
      <w:pPr>
        <w:rPr>
          <w:rFonts w:eastAsia="Calibri"/>
        </w:rPr>
      </w:pPr>
      <w:r w:rsidRPr="00851B2E">
        <w:rPr>
          <w:rFonts w:eastAsia="Calibri"/>
        </w:rPr>
        <w:t xml:space="preserve">The Hospital Care Improvement Program (HCIP) is one of the first two Care Redesign programs seeking to align Maryland hospitals’ payment incentives with that of eligible physicians.  HCIP is designed to: </w:t>
      </w:r>
    </w:p>
    <w:p w14:paraId="6004DC7A" w14:textId="77777777" w:rsidR="00851B2E" w:rsidRPr="00C12ED2" w:rsidRDefault="00851B2E" w:rsidP="00C12ED2">
      <w:pPr>
        <w:pStyle w:val="ListParagraph"/>
        <w:numPr>
          <w:ilvl w:val="0"/>
          <w:numId w:val="17"/>
        </w:numPr>
      </w:pPr>
      <w:r w:rsidRPr="00C12ED2">
        <w:t>Improve inpatient medical and surgical services delivery</w:t>
      </w:r>
      <w:r w:rsidR="00C12ED2">
        <w:t>;</w:t>
      </w:r>
    </w:p>
    <w:p w14:paraId="358B0BC3" w14:textId="77777777" w:rsidR="00851B2E" w:rsidRPr="00C12ED2" w:rsidRDefault="00851B2E" w:rsidP="00C12ED2">
      <w:pPr>
        <w:pStyle w:val="ListParagraph"/>
        <w:numPr>
          <w:ilvl w:val="0"/>
          <w:numId w:val="17"/>
        </w:numPr>
      </w:pPr>
      <w:r w:rsidRPr="00C12ED2">
        <w:t>Provide effective transitions of care</w:t>
      </w:r>
      <w:r w:rsidR="00C12ED2">
        <w:t>;</w:t>
      </w:r>
    </w:p>
    <w:p w14:paraId="324F10B5" w14:textId="77777777" w:rsidR="00851B2E" w:rsidRPr="00C12ED2" w:rsidRDefault="00851B2E" w:rsidP="00C12ED2">
      <w:pPr>
        <w:pStyle w:val="ListParagraph"/>
        <w:numPr>
          <w:ilvl w:val="0"/>
          <w:numId w:val="17"/>
        </w:numPr>
      </w:pPr>
      <w:r w:rsidRPr="00C12ED2">
        <w:t>Ensure an effective delivery of care during acute care events even beyond hospital walls</w:t>
      </w:r>
      <w:r w:rsidR="00C12ED2">
        <w:t>;</w:t>
      </w:r>
    </w:p>
    <w:p w14:paraId="1E40B391" w14:textId="77777777" w:rsidR="00851B2E" w:rsidRPr="00C12ED2" w:rsidRDefault="00851B2E" w:rsidP="00C12ED2">
      <w:pPr>
        <w:pStyle w:val="ListParagraph"/>
        <w:numPr>
          <w:ilvl w:val="0"/>
          <w:numId w:val="17"/>
        </w:numPr>
      </w:pPr>
      <w:r w:rsidRPr="00C12ED2">
        <w:t>Encourage the efficient management of inpatient resources</w:t>
      </w:r>
      <w:r w:rsidR="00C12ED2">
        <w:t xml:space="preserve">; and </w:t>
      </w:r>
    </w:p>
    <w:p w14:paraId="333583EA" w14:textId="77777777" w:rsidR="007B6FBC" w:rsidRPr="00C12ED2" w:rsidRDefault="00851B2E" w:rsidP="00C12ED2">
      <w:pPr>
        <w:pStyle w:val="ListParagraph"/>
        <w:numPr>
          <w:ilvl w:val="0"/>
          <w:numId w:val="17"/>
        </w:numPr>
      </w:pPr>
      <w:r w:rsidRPr="00C12ED2">
        <w:t>Reduce</w:t>
      </w:r>
      <w:r w:rsidRPr="00851B2E">
        <w:rPr>
          <w:rFonts w:eastAsia="Calibri"/>
        </w:rPr>
        <w:t xml:space="preserve"> avoidable utilization with a byproduct of reduced cost per acute care event</w:t>
      </w:r>
      <w:r w:rsidR="00C12ED2">
        <w:rPr>
          <w:rFonts w:eastAsia="Calibri"/>
        </w:rPr>
        <w:t>.</w:t>
      </w:r>
    </w:p>
    <w:p w14:paraId="2712715D" w14:textId="3753E7BD" w:rsidR="008629C4" w:rsidRDefault="00140391" w:rsidP="008629C4">
      <w:pPr>
        <w:pStyle w:val="Heading2"/>
      </w:pPr>
      <w:r>
        <w:t>Contract</w:t>
      </w:r>
      <w:r w:rsidR="008629C4">
        <w:t xml:space="preserve"> Objective</w:t>
      </w:r>
    </w:p>
    <w:p w14:paraId="0993CFF6" w14:textId="50F15C35" w:rsidR="00F11416" w:rsidRDefault="008629C4" w:rsidP="008629C4">
      <w:r>
        <w:t xml:space="preserve">To support </w:t>
      </w:r>
      <w:r w:rsidR="00C02E46">
        <w:t>Maryland’s</w:t>
      </w:r>
      <w:r>
        <w:t xml:space="preserve"> efforts</w:t>
      </w:r>
      <w:r w:rsidR="00F11416">
        <w:t xml:space="preserve"> to transform the health</w:t>
      </w:r>
      <w:r w:rsidR="007A4CAD">
        <w:t xml:space="preserve"> </w:t>
      </w:r>
      <w:r w:rsidR="00F11416">
        <w:t>care delivery system</w:t>
      </w:r>
      <w:r>
        <w:t xml:space="preserve">, CRISP is seeking to engage </w:t>
      </w:r>
      <w:r w:rsidR="007A4CAD">
        <w:t>a partner</w:t>
      </w:r>
      <w:r w:rsidR="00A15A8D">
        <w:t xml:space="preserve"> </w:t>
      </w:r>
      <w:r w:rsidR="007A4CAD">
        <w:t>to implement day-to-day operation of the HCIP program as the HCIP Administrator</w:t>
      </w:r>
      <w:r w:rsidR="00A15A8D">
        <w:t>.</w:t>
      </w:r>
      <w:r w:rsidR="007A4CAD">
        <w:t xml:space="preserve">  The HCIP Administrator selected under this </w:t>
      </w:r>
      <w:r w:rsidR="00140391">
        <w:t>Request for Proposal (RFP)</w:t>
      </w:r>
      <w:r w:rsidR="007A4CAD">
        <w:t xml:space="preserve"> will build on the substantial HCIP and Care Redesign development work to date to provide the following services, including but not limited to: </w:t>
      </w:r>
      <w:r w:rsidR="00A15A8D">
        <w:t xml:space="preserve"> </w:t>
      </w:r>
    </w:p>
    <w:p w14:paraId="069DB550" w14:textId="7DA4D159" w:rsidR="00BB6C56" w:rsidRPr="00F127CF" w:rsidRDefault="00BB6C56" w:rsidP="00BB6C56">
      <w:pPr>
        <w:pStyle w:val="ListParagraph"/>
        <w:numPr>
          <w:ilvl w:val="0"/>
          <w:numId w:val="18"/>
        </w:numPr>
      </w:pPr>
      <w:r w:rsidRPr="00F127CF">
        <w:lastRenderedPageBreak/>
        <w:t>Coordination with Maryland Hospital Administration (MHA) processes for engaging hospitals</w:t>
      </w:r>
      <w:r w:rsidR="004F2FEA" w:rsidRPr="00F127CF">
        <w:t xml:space="preserve"> for recruitment</w:t>
      </w:r>
      <w:r w:rsidRPr="00F127CF">
        <w:t>, as well as engagement and coordination with additional stakeholders</w:t>
      </w:r>
      <w:r w:rsidR="004F2FEA" w:rsidRPr="00F127CF">
        <w:t xml:space="preserve"> to support care partner participation</w:t>
      </w:r>
      <w:r w:rsidR="000E661D">
        <w:t xml:space="preserve">; </w:t>
      </w:r>
    </w:p>
    <w:p w14:paraId="6B41603A" w14:textId="77777777" w:rsidR="00327BE1" w:rsidRPr="00F127CF" w:rsidRDefault="003502D5" w:rsidP="00327BE1">
      <w:pPr>
        <w:pStyle w:val="ListParagraph"/>
        <w:numPr>
          <w:ilvl w:val="0"/>
          <w:numId w:val="18"/>
        </w:numPr>
      </w:pPr>
      <w:r w:rsidRPr="00F127CF">
        <w:t>Program operations requirements and hospital and care partner program materials</w:t>
      </w:r>
      <w:r w:rsidR="00327BE1" w:rsidRPr="00F127CF">
        <w:t>;</w:t>
      </w:r>
    </w:p>
    <w:p w14:paraId="46158AAE" w14:textId="77777777" w:rsidR="00327BE1" w:rsidRDefault="003502D5" w:rsidP="00327BE1">
      <w:pPr>
        <w:pStyle w:val="ListParagraph"/>
        <w:numPr>
          <w:ilvl w:val="0"/>
          <w:numId w:val="18"/>
        </w:numPr>
      </w:pPr>
      <w:r w:rsidRPr="00F127CF">
        <w:t>Training, education, and technical</w:t>
      </w:r>
      <w:r>
        <w:t xml:space="preserve"> assistance for hospitals and care partners</w:t>
      </w:r>
      <w:r w:rsidR="00327BE1">
        <w:t>;</w:t>
      </w:r>
    </w:p>
    <w:p w14:paraId="4376078F" w14:textId="633C0E22" w:rsidR="00327BE1" w:rsidRDefault="00E73DF8" w:rsidP="00327BE1">
      <w:pPr>
        <w:pStyle w:val="ListParagraph"/>
        <w:numPr>
          <w:ilvl w:val="0"/>
          <w:numId w:val="18"/>
        </w:numPr>
      </w:pPr>
      <w:r>
        <w:t>Data collection, analysis, and reporting</w:t>
      </w:r>
      <w:r w:rsidR="00327BE1">
        <w:t>;</w:t>
      </w:r>
      <w:r w:rsidR="00D82C3E">
        <w:t xml:space="preserve"> and</w:t>
      </w:r>
    </w:p>
    <w:p w14:paraId="220CC454" w14:textId="5F65E62C" w:rsidR="00327BE1" w:rsidRDefault="00E73DF8" w:rsidP="00E73DF8">
      <w:pPr>
        <w:pStyle w:val="ListParagraph"/>
        <w:numPr>
          <w:ilvl w:val="0"/>
          <w:numId w:val="18"/>
        </w:numPr>
      </w:pPr>
      <w:r>
        <w:t>Program monitoring</w:t>
      </w:r>
      <w:r w:rsidR="00D82C3E">
        <w:t>.</w:t>
      </w:r>
    </w:p>
    <w:p w14:paraId="5ED49A03" w14:textId="1E214567" w:rsidR="00C41F32" w:rsidRDefault="005C1C42" w:rsidP="008629C4">
      <w:r w:rsidRPr="00DA7A12">
        <w:t xml:space="preserve">CRISP will consider bids to complete one or more subsets of the scope of work.  </w:t>
      </w:r>
      <w:r w:rsidR="001F05FF" w:rsidRPr="00DA7A12">
        <w:t xml:space="preserve">As an outcome of this solicitation, </w:t>
      </w:r>
      <w:r w:rsidR="00E533AD" w:rsidRPr="00DA7A12">
        <w:t>CRISP will</w:t>
      </w:r>
      <w:r w:rsidR="00701BBA" w:rsidRPr="00DA7A12">
        <w:t xml:space="preserve"> enter into </w:t>
      </w:r>
      <w:r w:rsidRPr="00DA7A12">
        <w:t>one or more</w:t>
      </w:r>
      <w:r w:rsidR="00701BBA" w:rsidRPr="00DA7A12">
        <w:t xml:space="preserve"> contract</w:t>
      </w:r>
      <w:r w:rsidRPr="00DA7A12">
        <w:t>s</w:t>
      </w:r>
      <w:r w:rsidR="00701BBA" w:rsidRPr="00DA7A12">
        <w:t xml:space="preserve"> in anticipation of the HCIP launch date of July 1, 2017.</w:t>
      </w:r>
      <w:r w:rsidR="00701BBA">
        <w:t xml:space="preserve"> </w:t>
      </w:r>
      <w:r w:rsidR="001D7ADB">
        <w:t xml:space="preserve"> </w:t>
      </w:r>
    </w:p>
    <w:p w14:paraId="1D255A94" w14:textId="77777777" w:rsidR="008629C4" w:rsidRDefault="008629C4" w:rsidP="008629C4">
      <w:pPr>
        <w:pStyle w:val="Heading2"/>
      </w:pPr>
      <w:r>
        <w:t>Vendor Qualifications</w:t>
      </w:r>
    </w:p>
    <w:p w14:paraId="44994D65" w14:textId="7426723E" w:rsidR="008629C4" w:rsidRPr="00422715" w:rsidRDefault="001F05FF" w:rsidP="00DD4C7E">
      <w:r>
        <w:t xml:space="preserve">Vendors must be in good standing to do business in the State of Maryland. </w:t>
      </w:r>
      <w:r w:rsidR="00F84960">
        <w:t xml:space="preserve"> </w:t>
      </w:r>
      <w:r>
        <w:t xml:space="preserve">Responses should </w:t>
      </w:r>
      <w:r w:rsidR="00750F20">
        <w:t xml:space="preserve">demonstrate </w:t>
      </w:r>
      <w:r w:rsidR="00865AC8">
        <w:t>expertise and capabilities to provide the</w:t>
      </w:r>
      <w:r>
        <w:t xml:space="preserve"> services described </w:t>
      </w:r>
      <w:r w:rsidR="00F84960">
        <w:t xml:space="preserve">in this </w:t>
      </w:r>
      <w:r w:rsidR="00320D8F">
        <w:t>RFP</w:t>
      </w:r>
      <w:r w:rsidR="007E7619">
        <w:t xml:space="preserve">. </w:t>
      </w:r>
      <w:r w:rsidR="007037AE">
        <w:t xml:space="preserve"> </w:t>
      </w:r>
      <w:r w:rsidR="007E7619">
        <w:t>Experi</w:t>
      </w:r>
      <w:r w:rsidR="002977E7">
        <w:t xml:space="preserve">ence </w:t>
      </w:r>
      <w:r w:rsidR="00835939">
        <w:t xml:space="preserve">with </w:t>
      </w:r>
      <w:r w:rsidR="002977E7">
        <w:t>hospital gain</w:t>
      </w:r>
      <w:r w:rsidR="00835939">
        <w:t>sharing program implementation</w:t>
      </w:r>
      <w:r w:rsidR="007E7619">
        <w:t xml:space="preserve"> is </w:t>
      </w:r>
      <w:r w:rsidR="006324C0">
        <w:t>desired</w:t>
      </w:r>
      <w:r w:rsidR="007E7619">
        <w:t xml:space="preserve">.  </w:t>
      </w:r>
      <w:r w:rsidR="008629C4" w:rsidRPr="00AD745E">
        <w:t xml:space="preserve">Existing and effective working relationships with Maryland’s </w:t>
      </w:r>
      <w:r w:rsidR="00865AC8">
        <w:t>hospital</w:t>
      </w:r>
      <w:r w:rsidR="008629C4" w:rsidRPr="00AD745E">
        <w:t xml:space="preserve"> community</w:t>
      </w:r>
      <w:r w:rsidRPr="00AD745E">
        <w:t xml:space="preserve"> are </w:t>
      </w:r>
      <w:r w:rsidR="007E2137">
        <w:t>desired</w:t>
      </w:r>
      <w:r w:rsidRPr="00AD745E">
        <w:t>.</w:t>
      </w:r>
      <w:r w:rsidR="00AC02AE">
        <w:t xml:space="preserve"> </w:t>
      </w:r>
      <w:r w:rsidR="007D5D6B">
        <w:t xml:space="preserve">Knowledge of </w:t>
      </w:r>
      <w:r w:rsidR="007D5D6B" w:rsidRPr="007D5D6B">
        <w:t>Medicare Access and CHIP Reauthorization Act (MACRA) requirements is desired.</w:t>
      </w:r>
    </w:p>
    <w:p w14:paraId="483B0112" w14:textId="566B313F" w:rsidR="008629C4" w:rsidRDefault="008629C4" w:rsidP="008629C4">
      <w:pPr>
        <w:pStyle w:val="Heading1"/>
        <w:ind w:left="720" w:hanging="720"/>
      </w:pPr>
      <w:r>
        <w:t xml:space="preserve">2. </w:t>
      </w:r>
      <w:r w:rsidR="00396F46">
        <w:t xml:space="preserve">Procurement </w:t>
      </w:r>
      <w:r>
        <w:t>Process and Submission Instructions</w:t>
      </w:r>
    </w:p>
    <w:p w14:paraId="1AA4E02A" w14:textId="77777777" w:rsidR="008629C4" w:rsidRDefault="008629C4" w:rsidP="008629C4">
      <w:pPr>
        <w:pStyle w:val="Heading2"/>
      </w:pPr>
      <w:r>
        <w:t>Contract Type</w:t>
      </w:r>
    </w:p>
    <w:p w14:paraId="42386FD1" w14:textId="77777777" w:rsidR="00396F46" w:rsidRDefault="00396F46" w:rsidP="00396F46">
      <w:r>
        <w:t xml:space="preserve">CRISP anticipates issuing a </w:t>
      </w:r>
      <w:r w:rsidR="009A32FA">
        <w:t xml:space="preserve">time and materials contract, with a not to exceed annual limit, for </w:t>
      </w:r>
      <w:r>
        <w:t>two</w:t>
      </w:r>
      <w:r w:rsidR="009A32FA">
        <w:t xml:space="preserve"> base </w:t>
      </w:r>
      <w:r>
        <w:t>year</w:t>
      </w:r>
      <w:r w:rsidR="009A32FA">
        <w:t>s</w:t>
      </w:r>
      <w:r>
        <w:t xml:space="preserve"> </w:t>
      </w:r>
      <w:r w:rsidR="009A32FA">
        <w:t>and</w:t>
      </w:r>
      <w:r>
        <w:t xml:space="preserve"> three additional option years.</w:t>
      </w:r>
    </w:p>
    <w:p w14:paraId="0A26867C" w14:textId="214B2396" w:rsidR="008629C4" w:rsidRPr="00431604" w:rsidRDefault="000E661D" w:rsidP="008629C4">
      <w:pPr>
        <w:pStyle w:val="Heading2"/>
      </w:pPr>
      <w:r>
        <w:t>Procurement</w:t>
      </w:r>
      <w:r w:rsidR="00396F46">
        <w:t xml:space="preserve"> </w:t>
      </w:r>
      <w:r w:rsidR="008629C4" w:rsidRPr="00431604">
        <w:t>Timeline</w:t>
      </w:r>
    </w:p>
    <w:p w14:paraId="00356382" w14:textId="1F310609" w:rsidR="009D7C31" w:rsidRPr="00140391" w:rsidRDefault="00223BE0" w:rsidP="00140391">
      <w:r w:rsidRPr="00431604">
        <w:t xml:space="preserve">Figure </w:t>
      </w:r>
      <w:r w:rsidR="003D43C4" w:rsidRPr="00431604">
        <w:t>1</w:t>
      </w:r>
      <w:r w:rsidR="009D7C31">
        <w:t>: Procurement Timetable</w:t>
      </w:r>
      <w:r w:rsidR="008629C4" w:rsidRPr="00431604">
        <w:t xml:space="preserve"> represents CRISP’s best-estimated schedule f</w:t>
      </w:r>
      <w:r w:rsidR="007778E3">
        <w:t xml:space="preserve">or this procurement. All dates </w:t>
      </w:r>
      <w:r w:rsidR="008629C4" w:rsidRPr="00431604">
        <w:t>are subject to change.</w:t>
      </w:r>
    </w:p>
    <w:p w14:paraId="1B371A51" w14:textId="50D79F41" w:rsidR="008629C4" w:rsidRPr="00431604" w:rsidRDefault="008629C4" w:rsidP="00140391">
      <w:pPr>
        <w:spacing w:after="0"/>
        <w:jc w:val="center"/>
        <w:rPr>
          <w:b/>
        </w:rPr>
      </w:pPr>
      <w:r w:rsidRPr="00431604">
        <w:rPr>
          <w:b/>
        </w:rPr>
        <w:t xml:space="preserve">Figure </w:t>
      </w:r>
      <w:r w:rsidR="00103F7D" w:rsidRPr="00431604">
        <w:rPr>
          <w:b/>
        </w:rPr>
        <w:t>1</w:t>
      </w:r>
      <w:r w:rsidRPr="00431604">
        <w:rPr>
          <w:b/>
        </w:rPr>
        <w:t>: Procurement Timetable</w:t>
      </w:r>
    </w:p>
    <w:tbl>
      <w:tblPr>
        <w:tblW w:w="9209" w:type="dxa"/>
        <w:jc w:val="center"/>
        <w:tblBorders>
          <w:top w:val="single" w:sz="8" w:space="0" w:color="4F81BD"/>
          <w:bottom w:val="single" w:sz="8" w:space="0" w:color="4F81BD"/>
        </w:tblBorders>
        <w:tblLook w:val="04A0" w:firstRow="1" w:lastRow="0" w:firstColumn="1" w:lastColumn="0" w:noHBand="0" w:noVBand="1"/>
      </w:tblPr>
      <w:tblGrid>
        <w:gridCol w:w="3120"/>
        <w:gridCol w:w="2250"/>
        <w:gridCol w:w="3839"/>
      </w:tblGrid>
      <w:tr w:rsidR="008629C4" w:rsidRPr="00431604" w14:paraId="77864684" w14:textId="77777777" w:rsidTr="00A738FA">
        <w:trPr>
          <w:trHeight w:val="90"/>
          <w:jc w:val="center"/>
        </w:trPr>
        <w:tc>
          <w:tcPr>
            <w:tcW w:w="3120" w:type="dxa"/>
            <w:tcBorders>
              <w:top w:val="single" w:sz="8" w:space="0" w:color="4F81BD"/>
              <w:left w:val="nil"/>
              <w:bottom w:val="single" w:sz="8" w:space="0" w:color="4F81BD"/>
              <w:right w:val="nil"/>
            </w:tcBorders>
          </w:tcPr>
          <w:p w14:paraId="2BF966B8" w14:textId="77777777" w:rsidR="008629C4" w:rsidRPr="00431604" w:rsidRDefault="008629C4" w:rsidP="00D70C89">
            <w:pPr>
              <w:jc w:val="center"/>
              <w:rPr>
                <w:b/>
                <w:bCs/>
                <w:color w:val="365F91"/>
              </w:rPr>
            </w:pPr>
            <w:r w:rsidRPr="00431604">
              <w:rPr>
                <w:b/>
                <w:bCs/>
                <w:color w:val="365F91"/>
              </w:rPr>
              <w:t>Event</w:t>
            </w:r>
          </w:p>
        </w:tc>
        <w:tc>
          <w:tcPr>
            <w:tcW w:w="2250" w:type="dxa"/>
            <w:tcBorders>
              <w:top w:val="single" w:sz="8" w:space="0" w:color="4F81BD"/>
              <w:left w:val="nil"/>
              <w:bottom w:val="single" w:sz="8" w:space="0" w:color="4F81BD"/>
              <w:right w:val="nil"/>
            </w:tcBorders>
          </w:tcPr>
          <w:p w14:paraId="19E66D7F" w14:textId="77777777" w:rsidR="008629C4" w:rsidRPr="00431604" w:rsidRDefault="008629C4" w:rsidP="00D70C89">
            <w:pPr>
              <w:jc w:val="center"/>
              <w:rPr>
                <w:b/>
                <w:bCs/>
                <w:color w:val="365F91"/>
              </w:rPr>
            </w:pPr>
            <w:r w:rsidRPr="00431604">
              <w:rPr>
                <w:b/>
                <w:bCs/>
                <w:color w:val="365F91"/>
              </w:rPr>
              <w:t>Approximate Dates</w:t>
            </w:r>
          </w:p>
        </w:tc>
        <w:tc>
          <w:tcPr>
            <w:tcW w:w="3839" w:type="dxa"/>
            <w:tcBorders>
              <w:top w:val="single" w:sz="8" w:space="0" w:color="4F81BD"/>
              <w:left w:val="nil"/>
              <w:bottom w:val="single" w:sz="8" w:space="0" w:color="4F81BD"/>
              <w:right w:val="nil"/>
            </w:tcBorders>
          </w:tcPr>
          <w:p w14:paraId="38037402" w14:textId="77777777" w:rsidR="008629C4" w:rsidRPr="00431604" w:rsidRDefault="008629C4" w:rsidP="00D70C89">
            <w:pPr>
              <w:jc w:val="center"/>
              <w:rPr>
                <w:b/>
                <w:bCs/>
                <w:color w:val="365F91"/>
              </w:rPr>
            </w:pPr>
            <w:r w:rsidRPr="00431604">
              <w:rPr>
                <w:b/>
                <w:bCs/>
                <w:color w:val="365F91"/>
              </w:rPr>
              <w:t>Notes</w:t>
            </w:r>
          </w:p>
        </w:tc>
      </w:tr>
      <w:tr w:rsidR="008629C4" w:rsidRPr="001D7ADB" w14:paraId="08A0CB71" w14:textId="77777777" w:rsidTr="00A738FA">
        <w:trPr>
          <w:trHeight w:val="594"/>
          <w:jc w:val="center"/>
        </w:trPr>
        <w:tc>
          <w:tcPr>
            <w:tcW w:w="3120" w:type="dxa"/>
            <w:tcBorders>
              <w:top w:val="nil"/>
              <w:bottom w:val="nil"/>
            </w:tcBorders>
            <w:shd w:val="clear" w:color="auto" w:fill="99CCFF"/>
          </w:tcPr>
          <w:p w14:paraId="4BB3C62F" w14:textId="45F3DEDE" w:rsidR="008629C4" w:rsidRPr="00431604" w:rsidRDefault="00DA13B5" w:rsidP="00D70C89">
            <w:pPr>
              <w:rPr>
                <w:bCs/>
              </w:rPr>
            </w:pPr>
            <w:r w:rsidRPr="00431604">
              <w:rPr>
                <w:bCs/>
              </w:rPr>
              <w:t xml:space="preserve">CRISP Issues </w:t>
            </w:r>
            <w:r>
              <w:rPr>
                <w:bCs/>
              </w:rPr>
              <w:t>RFP</w:t>
            </w:r>
          </w:p>
        </w:tc>
        <w:tc>
          <w:tcPr>
            <w:tcW w:w="2250" w:type="dxa"/>
            <w:tcBorders>
              <w:top w:val="nil"/>
              <w:bottom w:val="nil"/>
            </w:tcBorders>
            <w:shd w:val="clear" w:color="auto" w:fill="99CCFF"/>
          </w:tcPr>
          <w:p w14:paraId="4AC6E844" w14:textId="7408AAEC" w:rsidR="008629C4" w:rsidRPr="00E87F3C" w:rsidRDefault="00DA13B5" w:rsidP="00D70C89">
            <w:pPr>
              <w:jc w:val="center"/>
              <w:rPr>
                <w:bCs/>
              </w:rPr>
            </w:pPr>
            <w:r>
              <w:t>March 15</w:t>
            </w:r>
            <w:r w:rsidRPr="00431604">
              <w:t>, 2017</w:t>
            </w:r>
          </w:p>
        </w:tc>
        <w:tc>
          <w:tcPr>
            <w:tcW w:w="3839" w:type="dxa"/>
            <w:tcBorders>
              <w:top w:val="nil"/>
              <w:bottom w:val="nil"/>
            </w:tcBorders>
            <w:shd w:val="clear" w:color="auto" w:fill="99CCFF"/>
          </w:tcPr>
          <w:p w14:paraId="4BC967D2" w14:textId="088B8E92" w:rsidR="008629C4" w:rsidRPr="00E87F3C" w:rsidRDefault="00DA13B5" w:rsidP="00D70C89">
            <w:pPr>
              <w:rPr>
                <w:bCs/>
              </w:rPr>
            </w:pPr>
            <w:r>
              <w:t>P</w:t>
            </w:r>
            <w:r w:rsidRPr="00431604">
              <w:t>osted on CRISP website</w:t>
            </w:r>
          </w:p>
        </w:tc>
      </w:tr>
      <w:tr w:rsidR="008629C4" w:rsidRPr="001D7ADB" w14:paraId="1647AD1F" w14:textId="77777777" w:rsidTr="00A738FA">
        <w:trPr>
          <w:trHeight w:val="153"/>
          <w:jc w:val="center"/>
        </w:trPr>
        <w:tc>
          <w:tcPr>
            <w:tcW w:w="3120" w:type="dxa"/>
            <w:tcBorders>
              <w:top w:val="nil"/>
              <w:left w:val="nil"/>
              <w:bottom w:val="nil"/>
              <w:right w:val="nil"/>
            </w:tcBorders>
            <w:shd w:val="clear" w:color="auto" w:fill="auto"/>
          </w:tcPr>
          <w:p w14:paraId="1BA973F6" w14:textId="7BF7378F" w:rsidR="008629C4" w:rsidRPr="00431604" w:rsidRDefault="00DA13B5" w:rsidP="00422715">
            <w:pPr>
              <w:rPr>
                <w:bCs/>
              </w:rPr>
            </w:pPr>
            <w:r w:rsidRPr="00431604">
              <w:rPr>
                <w:bCs/>
              </w:rPr>
              <w:t>Clarifications and Q&amp;A</w:t>
            </w:r>
          </w:p>
        </w:tc>
        <w:tc>
          <w:tcPr>
            <w:tcW w:w="2250" w:type="dxa"/>
            <w:tcBorders>
              <w:top w:val="nil"/>
              <w:left w:val="nil"/>
              <w:bottom w:val="nil"/>
              <w:right w:val="nil"/>
            </w:tcBorders>
            <w:shd w:val="clear" w:color="auto" w:fill="auto"/>
          </w:tcPr>
          <w:p w14:paraId="4ED269E6" w14:textId="0E73642E" w:rsidR="008629C4" w:rsidRPr="00431604" w:rsidRDefault="00DA13B5" w:rsidP="00422715">
            <w:pPr>
              <w:jc w:val="center"/>
            </w:pPr>
            <w:r w:rsidRPr="00E87F3C">
              <w:rPr>
                <w:bCs/>
              </w:rPr>
              <w:t>Ongoing</w:t>
            </w:r>
          </w:p>
        </w:tc>
        <w:tc>
          <w:tcPr>
            <w:tcW w:w="3839" w:type="dxa"/>
            <w:tcBorders>
              <w:top w:val="nil"/>
              <w:left w:val="nil"/>
              <w:bottom w:val="nil"/>
              <w:right w:val="nil"/>
            </w:tcBorders>
            <w:shd w:val="clear" w:color="auto" w:fill="auto"/>
          </w:tcPr>
          <w:p w14:paraId="79358BF8" w14:textId="5E6FC471" w:rsidR="008629C4" w:rsidRPr="00431604" w:rsidRDefault="00DA13B5" w:rsidP="00D70C89">
            <w:r w:rsidRPr="00E87F3C">
              <w:rPr>
                <w:bCs/>
              </w:rPr>
              <w:t>Questions may be submitted to Jazmin.Hampton@crisphealth.org</w:t>
            </w:r>
          </w:p>
        </w:tc>
      </w:tr>
      <w:tr w:rsidR="008629C4" w:rsidRPr="001D7ADB" w14:paraId="6E16A20B" w14:textId="77777777" w:rsidTr="00A738FA">
        <w:trPr>
          <w:trHeight w:val="153"/>
          <w:jc w:val="center"/>
        </w:trPr>
        <w:tc>
          <w:tcPr>
            <w:tcW w:w="3120" w:type="dxa"/>
            <w:tcBorders>
              <w:top w:val="nil"/>
              <w:bottom w:val="nil"/>
            </w:tcBorders>
            <w:shd w:val="clear" w:color="auto" w:fill="99CCFF"/>
          </w:tcPr>
          <w:p w14:paraId="56C933D6" w14:textId="32C908FF" w:rsidR="008629C4" w:rsidRPr="00431604" w:rsidRDefault="00DA13B5" w:rsidP="00764166">
            <w:pPr>
              <w:rPr>
                <w:bCs/>
              </w:rPr>
            </w:pPr>
            <w:r w:rsidRPr="00431604">
              <w:rPr>
                <w:bCs/>
              </w:rPr>
              <w:t xml:space="preserve">Vendor </w:t>
            </w:r>
            <w:r>
              <w:rPr>
                <w:bCs/>
              </w:rPr>
              <w:t xml:space="preserve">Responses </w:t>
            </w:r>
            <w:r w:rsidRPr="00431604">
              <w:rPr>
                <w:bCs/>
              </w:rPr>
              <w:t>Due to CRISP</w:t>
            </w:r>
          </w:p>
        </w:tc>
        <w:tc>
          <w:tcPr>
            <w:tcW w:w="2250" w:type="dxa"/>
            <w:tcBorders>
              <w:top w:val="nil"/>
              <w:bottom w:val="nil"/>
            </w:tcBorders>
            <w:shd w:val="clear" w:color="auto" w:fill="99CCFF"/>
          </w:tcPr>
          <w:p w14:paraId="7FD66DB5" w14:textId="1F828D95" w:rsidR="008629C4" w:rsidRPr="00431604" w:rsidRDefault="00DA13B5" w:rsidP="00764166">
            <w:pPr>
              <w:jc w:val="center"/>
            </w:pPr>
            <w:r>
              <w:t>April</w:t>
            </w:r>
            <w:r w:rsidRPr="00431604">
              <w:t xml:space="preserve"> </w:t>
            </w:r>
            <w:r>
              <w:t>10</w:t>
            </w:r>
            <w:r w:rsidRPr="00431604">
              <w:t>, 2017</w:t>
            </w:r>
          </w:p>
        </w:tc>
        <w:tc>
          <w:tcPr>
            <w:tcW w:w="3839" w:type="dxa"/>
            <w:tcBorders>
              <w:top w:val="nil"/>
              <w:bottom w:val="nil"/>
            </w:tcBorders>
            <w:shd w:val="clear" w:color="auto" w:fill="99CCFF"/>
          </w:tcPr>
          <w:p w14:paraId="603BB835" w14:textId="6F769AFD" w:rsidR="008629C4" w:rsidRPr="00431604" w:rsidRDefault="00A738FA" w:rsidP="00D70C89">
            <w:r>
              <w:t>Proposals must be emailed by 5</w:t>
            </w:r>
            <w:r w:rsidR="00DA13B5" w:rsidRPr="00431604">
              <w:t>p.m</w:t>
            </w:r>
            <w:r>
              <w:t xml:space="preserve">. </w:t>
            </w:r>
            <w:r w:rsidR="00DA13B5" w:rsidRPr="00431604">
              <w:t>EST</w:t>
            </w:r>
          </w:p>
        </w:tc>
      </w:tr>
      <w:tr w:rsidR="008629C4" w:rsidRPr="001D7ADB" w14:paraId="6EA535FE" w14:textId="77777777" w:rsidTr="00A738FA">
        <w:trPr>
          <w:trHeight w:val="153"/>
          <w:jc w:val="center"/>
        </w:trPr>
        <w:tc>
          <w:tcPr>
            <w:tcW w:w="3120" w:type="dxa"/>
            <w:tcBorders>
              <w:top w:val="nil"/>
              <w:left w:val="nil"/>
              <w:bottom w:val="nil"/>
              <w:right w:val="nil"/>
            </w:tcBorders>
            <w:shd w:val="clear" w:color="auto" w:fill="auto"/>
          </w:tcPr>
          <w:p w14:paraId="75536333" w14:textId="7B7716E9" w:rsidR="008629C4" w:rsidRPr="00431604" w:rsidRDefault="00B26F16" w:rsidP="00D70C89">
            <w:pPr>
              <w:rPr>
                <w:bCs/>
              </w:rPr>
            </w:pPr>
            <w:r w:rsidRPr="00431604">
              <w:rPr>
                <w:bCs/>
              </w:rPr>
              <w:t>Follow-Up with Vendors</w:t>
            </w:r>
          </w:p>
        </w:tc>
        <w:tc>
          <w:tcPr>
            <w:tcW w:w="2250" w:type="dxa"/>
            <w:tcBorders>
              <w:top w:val="nil"/>
              <w:left w:val="nil"/>
              <w:bottom w:val="nil"/>
              <w:right w:val="nil"/>
            </w:tcBorders>
            <w:shd w:val="clear" w:color="auto" w:fill="auto"/>
          </w:tcPr>
          <w:p w14:paraId="1B118840" w14:textId="13A30C91" w:rsidR="008629C4" w:rsidRPr="00431604" w:rsidRDefault="00B26F16" w:rsidP="00B26F16">
            <w:pPr>
              <w:jc w:val="center"/>
            </w:pPr>
            <w:r>
              <w:t>April</w:t>
            </w:r>
            <w:r w:rsidRPr="00431604">
              <w:t xml:space="preserve"> </w:t>
            </w:r>
            <w:r>
              <w:t>11</w:t>
            </w:r>
            <w:r w:rsidRPr="00431604">
              <w:t>-</w:t>
            </w:r>
            <w:r>
              <w:t>27</w:t>
            </w:r>
            <w:r w:rsidRPr="00431604">
              <w:t>, 2017</w:t>
            </w:r>
          </w:p>
        </w:tc>
        <w:tc>
          <w:tcPr>
            <w:tcW w:w="3839" w:type="dxa"/>
            <w:tcBorders>
              <w:top w:val="nil"/>
              <w:left w:val="nil"/>
              <w:bottom w:val="nil"/>
              <w:right w:val="nil"/>
            </w:tcBorders>
            <w:shd w:val="clear" w:color="auto" w:fill="auto"/>
          </w:tcPr>
          <w:p w14:paraId="0AA4C84F" w14:textId="57D16877" w:rsidR="008629C4" w:rsidRPr="00431604" w:rsidRDefault="00B26F16" w:rsidP="00764166">
            <w:r w:rsidRPr="00431604">
              <w:t>CRISP will contact vendors as needed</w:t>
            </w:r>
          </w:p>
        </w:tc>
      </w:tr>
      <w:tr w:rsidR="008629C4" w:rsidRPr="001D7ADB" w14:paraId="40D3B225" w14:textId="77777777" w:rsidTr="00A738FA">
        <w:trPr>
          <w:trHeight w:val="153"/>
          <w:jc w:val="center"/>
        </w:trPr>
        <w:tc>
          <w:tcPr>
            <w:tcW w:w="3120" w:type="dxa"/>
            <w:tcBorders>
              <w:top w:val="nil"/>
              <w:bottom w:val="single" w:sz="8" w:space="0" w:color="4F81BD"/>
            </w:tcBorders>
            <w:shd w:val="clear" w:color="auto" w:fill="99CCFF"/>
          </w:tcPr>
          <w:p w14:paraId="5315536C" w14:textId="2B9C15C9" w:rsidR="008629C4" w:rsidRPr="00431604" w:rsidRDefault="00B26F16" w:rsidP="00562FEA">
            <w:pPr>
              <w:rPr>
                <w:bCs/>
              </w:rPr>
            </w:pPr>
            <w:r>
              <w:rPr>
                <w:bCs/>
              </w:rPr>
              <w:t>Selection of Preferred</w:t>
            </w:r>
            <w:r w:rsidRPr="00431604">
              <w:rPr>
                <w:bCs/>
              </w:rPr>
              <w:t xml:space="preserve"> </w:t>
            </w:r>
            <w:r>
              <w:rPr>
                <w:bCs/>
              </w:rPr>
              <w:t>Vendor</w:t>
            </w:r>
          </w:p>
        </w:tc>
        <w:tc>
          <w:tcPr>
            <w:tcW w:w="2250" w:type="dxa"/>
            <w:tcBorders>
              <w:top w:val="nil"/>
              <w:bottom w:val="single" w:sz="8" w:space="0" w:color="4F81BD"/>
            </w:tcBorders>
            <w:shd w:val="clear" w:color="auto" w:fill="99CCFF"/>
          </w:tcPr>
          <w:p w14:paraId="742E43B4" w14:textId="0F3A6908" w:rsidR="008629C4" w:rsidRPr="00431604" w:rsidRDefault="00B26F16" w:rsidP="00764166">
            <w:pPr>
              <w:jc w:val="center"/>
            </w:pPr>
            <w:r>
              <w:t>April</w:t>
            </w:r>
            <w:r w:rsidRPr="00431604">
              <w:t xml:space="preserve"> </w:t>
            </w:r>
            <w:r>
              <w:t>28</w:t>
            </w:r>
            <w:r w:rsidRPr="00431604">
              <w:t>, 2017</w:t>
            </w:r>
          </w:p>
        </w:tc>
        <w:tc>
          <w:tcPr>
            <w:tcW w:w="3839" w:type="dxa"/>
            <w:tcBorders>
              <w:top w:val="nil"/>
              <w:bottom w:val="single" w:sz="8" w:space="0" w:color="4F81BD"/>
            </w:tcBorders>
            <w:shd w:val="clear" w:color="auto" w:fill="99CCFF"/>
          </w:tcPr>
          <w:p w14:paraId="2DE838B1" w14:textId="106AE1A9" w:rsidR="008629C4" w:rsidRPr="00431604" w:rsidRDefault="00B26F16" w:rsidP="00562FEA">
            <w:r w:rsidRPr="00431604">
              <w:t xml:space="preserve">CRISP will contact selected vendor to </w:t>
            </w:r>
            <w:r w:rsidRPr="00431604">
              <w:lastRenderedPageBreak/>
              <w:t>initiate contracting process</w:t>
            </w:r>
          </w:p>
        </w:tc>
      </w:tr>
    </w:tbl>
    <w:p w14:paraId="2BDD9DE3" w14:textId="77777777" w:rsidR="008629C4" w:rsidRDefault="009A32FA" w:rsidP="008629C4">
      <w:r>
        <w:lastRenderedPageBreak/>
        <w:t>CRISP</w:t>
      </w:r>
      <w:r w:rsidRPr="009B08D2">
        <w:t xml:space="preserve"> will work in good faith to provide adequate and equal opportunity for all participating vendors.  However, </w:t>
      </w:r>
      <w:r w:rsidR="008629C4" w:rsidRPr="00431604">
        <w:t xml:space="preserve">CRISP reserves the right to adjust or modify the </w:t>
      </w:r>
      <w:r w:rsidR="00CE2CE2">
        <w:t>procurement t</w:t>
      </w:r>
      <w:r w:rsidR="008629C4" w:rsidRPr="00431604">
        <w:t>imetable at any point</w:t>
      </w:r>
      <w:r w:rsidR="003D43C4" w:rsidRPr="00431604">
        <w:t xml:space="preserve"> in the process</w:t>
      </w:r>
      <w:r w:rsidR="008629C4" w:rsidRPr="00431604">
        <w:t xml:space="preserve">, as </w:t>
      </w:r>
      <w:r w:rsidR="00890063" w:rsidRPr="00431604">
        <w:t xml:space="preserve">it </w:t>
      </w:r>
      <w:r w:rsidR="008629C4" w:rsidRPr="00431604">
        <w:t>deem</w:t>
      </w:r>
      <w:r w:rsidR="00890063" w:rsidRPr="00431604">
        <w:t>s</w:t>
      </w:r>
      <w:r w:rsidR="008629C4" w:rsidRPr="00431604">
        <w:t xml:space="preserve"> necessary.</w:t>
      </w:r>
    </w:p>
    <w:p w14:paraId="6FFEE414" w14:textId="77777777" w:rsidR="008629C4" w:rsidRDefault="008629C4" w:rsidP="008629C4">
      <w:pPr>
        <w:pStyle w:val="Heading2"/>
      </w:pPr>
      <w:r>
        <w:t>Terms and Conditions and Confidentiality</w:t>
      </w:r>
    </w:p>
    <w:p w14:paraId="2080D292" w14:textId="74D152B8" w:rsidR="008629C4" w:rsidRPr="001507B9" w:rsidRDefault="008629C4" w:rsidP="008629C4">
      <w:r w:rsidRPr="001507B9">
        <w:t>All responses become the property of CRISP and will not be returned to responders. Responses may be disclosed to CRISP</w:t>
      </w:r>
      <w:r w:rsidR="001F1D8A">
        <w:t>, the Care Redesign Committee,</w:t>
      </w:r>
      <w:r w:rsidRPr="001507B9">
        <w:t xml:space="preserve"> and CRISP advisors </w:t>
      </w:r>
      <w:r>
        <w:t xml:space="preserve">as </w:t>
      </w:r>
      <w:r w:rsidRPr="001507B9">
        <w:t xml:space="preserve">deemed appropriate by CRISP. </w:t>
      </w:r>
      <w:r w:rsidR="00D07073">
        <w:t xml:space="preserve"> </w:t>
      </w:r>
      <w:r w:rsidRPr="001507B9">
        <w:t xml:space="preserve">All pricing information </w:t>
      </w:r>
      <w:r>
        <w:t>will be treated confidentially.</w:t>
      </w:r>
    </w:p>
    <w:p w14:paraId="091AF5E5" w14:textId="33363ABD" w:rsidR="0044630F" w:rsidRDefault="008629C4" w:rsidP="008629C4">
      <w:r w:rsidRPr="001507B9">
        <w:t xml:space="preserve">CRISP </w:t>
      </w:r>
      <w:r>
        <w:t xml:space="preserve">expressly reserves the right </w:t>
      </w:r>
      <w:r w:rsidRPr="001507B9">
        <w:t>to make any decision regarding future direction or future partners</w:t>
      </w:r>
      <w:r>
        <w:t xml:space="preserve">. </w:t>
      </w:r>
      <w:r w:rsidR="00D07073">
        <w:t xml:space="preserve"> </w:t>
      </w:r>
      <w:r>
        <w:t>This includes the right to not award a cont</w:t>
      </w:r>
      <w:r w:rsidR="006324C0">
        <w:t>r</w:t>
      </w:r>
      <w:r>
        <w:t xml:space="preserve">act pursuant to this </w:t>
      </w:r>
      <w:r w:rsidR="000F5864">
        <w:t>RFP</w:t>
      </w:r>
      <w:r>
        <w:t xml:space="preserve"> process. </w:t>
      </w:r>
      <w:r w:rsidR="00D07073">
        <w:t xml:space="preserve"> </w:t>
      </w:r>
    </w:p>
    <w:p w14:paraId="6A581746" w14:textId="77777777" w:rsidR="008629C4" w:rsidRDefault="008629C4" w:rsidP="008629C4">
      <w:r>
        <w:t>CRISP reserves the right to:</w:t>
      </w:r>
    </w:p>
    <w:p w14:paraId="5081C467" w14:textId="63AC51FF" w:rsidR="008629C4" w:rsidRDefault="008629C4" w:rsidP="008629C4">
      <w:pPr>
        <w:numPr>
          <w:ilvl w:val="0"/>
          <w:numId w:val="2"/>
        </w:numPr>
        <w:spacing w:after="160" w:line="259" w:lineRule="auto"/>
        <w:contextualSpacing/>
      </w:pPr>
      <w:r>
        <w:t xml:space="preserve">Accept or reject any and all proposals or parts of proposals received in response to this </w:t>
      </w:r>
      <w:r w:rsidR="000F5864">
        <w:t>RFP</w:t>
      </w:r>
      <w:r w:rsidR="00D07073">
        <w:t>;</w:t>
      </w:r>
    </w:p>
    <w:p w14:paraId="1D587372" w14:textId="14711F66" w:rsidR="008629C4" w:rsidRDefault="008629C4" w:rsidP="008629C4">
      <w:pPr>
        <w:numPr>
          <w:ilvl w:val="0"/>
          <w:numId w:val="2"/>
        </w:numPr>
        <w:spacing w:after="160" w:line="259" w:lineRule="auto"/>
        <w:contextualSpacing/>
      </w:pPr>
      <w:r>
        <w:t xml:space="preserve">Amend or modify the </w:t>
      </w:r>
      <w:r w:rsidR="000F5864">
        <w:t>RFP</w:t>
      </w:r>
      <w:r>
        <w:t xml:space="preserve"> or cancel this request, with or without the substitution of another </w:t>
      </w:r>
      <w:r w:rsidR="00232833">
        <w:t>RFP</w:t>
      </w:r>
      <w:r w:rsidR="00D07073">
        <w:t>;</w:t>
      </w:r>
    </w:p>
    <w:p w14:paraId="65518F97" w14:textId="77777777" w:rsidR="008629C4" w:rsidRDefault="008629C4" w:rsidP="008629C4">
      <w:pPr>
        <w:numPr>
          <w:ilvl w:val="0"/>
          <w:numId w:val="2"/>
        </w:numPr>
        <w:spacing w:after="160" w:line="259" w:lineRule="auto"/>
        <w:contextualSpacing/>
      </w:pPr>
      <w:r>
        <w:t>Waive or modify any information, irregularity, or inconsistency in proposals received</w:t>
      </w:r>
      <w:r w:rsidR="00D07073">
        <w:t>;</w:t>
      </w:r>
    </w:p>
    <w:p w14:paraId="04FE7005" w14:textId="77777777" w:rsidR="008629C4" w:rsidRDefault="008629C4" w:rsidP="008629C4">
      <w:pPr>
        <w:numPr>
          <w:ilvl w:val="0"/>
          <w:numId w:val="2"/>
        </w:numPr>
        <w:spacing w:after="160" w:line="259" w:lineRule="auto"/>
        <w:contextualSpacing/>
      </w:pPr>
      <w:r>
        <w:t>Request additional information from any or all respondents</w:t>
      </w:r>
      <w:r w:rsidR="00D07073">
        <w:t>;</w:t>
      </w:r>
    </w:p>
    <w:p w14:paraId="301C3354" w14:textId="77777777" w:rsidR="008629C4" w:rsidRDefault="008629C4" w:rsidP="008629C4">
      <w:pPr>
        <w:numPr>
          <w:ilvl w:val="0"/>
          <w:numId w:val="2"/>
        </w:numPr>
        <w:spacing w:after="160" w:line="259" w:lineRule="auto"/>
        <w:contextualSpacing/>
      </w:pPr>
      <w:r>
        <w:t>Follow up on any references provided</w:t>
      </w:r>
      <w:r w:rsidR="00D07073">
        <w:t>;</w:t>
      </w:r>
    </w:p>
    <w:p w14:paraId="44E9EA3E" w14:textId="77777777" w:rsidR="008629C4" w:rsidRDefault="008629C4" w:rsidP="008629C4">
      <w:pPr>
        <w:numPr>
          <w:ilvl w:val="0"/>
          <w:numId w:val="2"/>
        </w:numPr>
        <w:spacing w:after="160" w:line="259" w:lineRule="auto"/>
        <w:contextualSpacing/>
      </w:pPr>
      <w:r>
        <w:t>Negotiate any terms of contract or costs for any proposal</w:t>
      </w:r>
      <w:r w:rsidR="00D07073">
        <w:t>;</w:t>
      </w:r>
    </w:p>
    <w:p w14:paraId="5CCC265C" w14:textId="77777777" w:rsidR="008629C4" w:rsidRDefault="008629C4" w:rsidP="008629C4">
      <w:pPr>
        <w:numPr>
          <w:ilvl w:val="0"/>
          <w:numId w:val="2"/>
        </w:numPr>
        <w:spacing w:after="160" w:line="259" w:lineRule="auto"/>
        <w:contextualSpacing/>
      </w:pPr>
      <w:r>
        <w:t>Request modification to proposals from any or all contractors during review and negotiation</w:t>
      </w:r>
      <w:r w:rsidR="00D07073">
        <w:t>; and</w:t>
      </w:r>
    </w:p>
    <w:p w14:paraId="1EE88F76" w14:textId="77777777" w:rsidR="008629C4" w:rsidRDefault="008629C4" w:rsidP="008629C4">
      <w:pPr>
        <w:numPr>
          <w:ilvl w:val="0"/>
          <w:numId w:val="2"/>
        </w:numPr>
        <w:spacing w:after="160" w:line="259" w:lineRule="auto"/>
        <w:contextualSpacing/>
      </w:pPr>
      <w:r>
        <w:t>Negotiate any aspect of the proposal with any individual or firm and negotiate with multiple individuals or firms at the same time</w:t>
      </w:r>
      <w:r w:rsidR="00D07073">
        <w:t>.</w:t>
      </w:r>
    </w:p>
    <w:p w14:paraId="5AD454E4" w14:textId="77777777" w:rsidR="008D6C44" w:rsidRDefault="008D6C44" w:rsidP="008D6C44">
      <w:pPr>
        <w:spacing w:after="160" w:line="259" w:lineRule="auto"/>
        <w:ind w:left="720"/>
        <w:contextualSpacing/>
      </w:pPr>
    </w:p>
    <w:p w14:paraId="1EC9A36B" w14:textId="7D5AAC63" w:rsidR="008629C4" w:rsidRDefault="008629C4" w:rsidP="008629C4">
      <w:r>
        <w:t xml:space="preserve">Submission of a proposal in response to this </w:t>
      </w:r>
      <w:r w:rsidR="008460E0">
        <w:t xml:space="preserve">RFP </w:t>
      </w:r>
      <w:r>
        <w:t xml:space="preserve">constitutes acceptance of all conditions of this procurement process described here and elsewhere in the </w:t>
      </w:r>
      <w:r w:rsidR="008460E0">
        <w:t>RFP</w:t>
      </w:r>
      <w:r w:rsidR="00724987">
        <w:t>.</w:t>
      </w:r>
    </w:p>
    <w:p w14:paraId="388F0BA0" w14:textId="6F9561B0" w:rsidR="008629C4" w:rsidRDefault="008629C4" w:rsidP="008629C4">
      <w:r>
        <w:t xml:space="preserve">A bidder receiving a positive response to their proposal should be prepared to immediately begin negotiation of final terms based on the </w:t>
      </w:r>
      <w:r w:rsidR="00846758">
        <w:t>RFP</w:t>
      </w:r>
      <w:r>
        <w:t xml:space="preserve"> and other mutually agreed terms and conditions, provided that terms described by bidder in their response may be rejected in whole or in part and/or otherwise negotiated by CRISP in the contracting process. In addition, a positive response from CRISP does not assure that a contract will be entered into; CRISP may discontinue negotiations with a bidder at any time, in its sole discretion. </w:t>
      </w:r>
      <w:r w:rsidRPr="001507B9">
        <w:t xml:space="preserve">Until and unless a formal contract is executed by CRISP and responder, CRISP shall have no liability or other legal obligation to a responder whatsoever, relating to or arising from this </w:t>
      </w:r>
      <w:r w:rsidR="000F5864">
        <w:t>RFP</w:t>
      </w:r>
      <w:r w:rsidRPr="001507B9">
        <w:t xml:space="preserve">, the </w:t>
      </w:r>
      <w:r w:rsidR="000F5864">
        <w:t>RFP</w:t>
      </w:r>
      <w:r w:rsidRPr="001507B9">
        <w:t xml:space="preserve"> process, or any decisions regarding pursuit of a formal solicitation.</w:t>
      </w:r>
      <w:r>
        <w:t xml:space="preserve"> </w:t>
      </w:r>
    </w:p>
    <w:p w14:paraId="62BDC51A" w14:textId="34F6E8DD" w:rsidR="008629C4" w:rsidRPr="001507B9" w:rsidRDefault="008629C4" w:rsidP="008629C4">
      <w:r>
        <w:t>CRISP</w:t>
      </w:r>
      <w:r w:rsidR="001F53DE">
        <w:t>, the Care Redesign Committee,</w:t>
      </w:r>
      <w:r>
        <w:t xml:space="preserve"> </w:t>
      </w:r>
      <w:r w:rsidR="004F2FEA">
        <w:t xml:space="preserve">and the persons designated to review the proposals </w:t>
      </w:r>
      <w:r>
        <w:t>will hold responses as confidential.</w:t>
      </w:r>
      <w:r w:rsidRPr="001507B9">
        <w:t xml:space="preserve"> </w:t>
      </w:r>
    </w:p>
    <w:p w14:paraId="253F5754" w14:textId="21A54C79" w:rsidR="008629C4" w:rsidRDefault="008629C4" w:rsidP="008629C4">
      <w:r w:rsidRPr="001507B9">
        <w:t xml:space="preserve">In no event will CRISP be responsible for damages or other remedies, at law or in equity, arising directly or indirectly from any decisions or any actions taken or not taken in response to or as a result of this </w:t>
      </w:r>
      <w:r w:rsidR="000F5864">
        <w:t>RFP</w:t>
      </w:r>
      <w:r>
        <w:t xml:space="preserve"> or response by a vendor. </w:t>
      </w:r>
      <w:r w:rsidRPr="001507B9">
        <w:t>All responder’s costs of response preparation and any negotiation will be borne by the responder.</w:t>
      </w:r>
    </w:p>
    <w:p w14:paraId="0A06060A" w14:textId="1B256FE0" w:rsidR="00CC3C24" w:rsidRPr="007474E9" w:rsidRDefault="007474E9" w:rsidP="00F86551">
      <w:pPr>
        <w:rPr>
          <w:szCs w:val="22"/>
        </w:rPr>
      </w:pPr>
      <w:r w:rsidRPr="007474E9">
        <w:rPr>
          <w:rFonts w:eastAsiaTheme="minorHAnsi" w:cs="Calibri"/>
          <w:szCs w:val="22"/>
        </w:rPr>
        <w:t xml:space="preserve">CRISP will retain sole and exclusive ownership of all rights, title and interest in our work papers, proprietary information, processes, methodologies, know-how and software, including such information as existed prior to the delivery of the vendor’s services and, to the extent such information is of general application, anything </w:t>
      </w:r>
      <w:r w:rsidRPr="007474E9">
        <w:rPr>
          <w:rFonts w:eastAsiaTheme="minorHAnsi" w:cs="Calibri"/>
          <w:szCs w:val="22"/>
        </w:rPr>
        <w:lastRenderedPageBreak/>
        <w:t>that the vendor may discover, create or develop during the provision of Services (“CRISP Property”). Except as may be otherwise set forth in any definitive agreement entered into between CRISP and the vendor, (i) any Deliverables prepared by the vendor will be considered "work made for hire" under the United States Copyright Act of 1976 as amended, and for purposes of all other applicable laws and (ii) the vendor will assign all right, title, and interest in the Deliverables to CRISP pursuant to a written assignment of such rights in and to any Deliverables. To the extent the Deliverables delivered to CRISP contains any Vendor Property, the vendor grants CRISP a worldwide, non-exclusive, non-assignable, royalty-free license in perpetuity to use Vendor Property as part of the Deliverables</w:t>
      </w:r>
      <w:r>
        <w:rPr>
          <w:rFonts w:eastAsiaTheme="minorHAnsi" w:cs="Calibri"/>
          <w:szCs w:val="22"/>
        </w:rPr>
        <w:t>.</w:t>
      </w:r>
    </w:p>
    <w:p w14:paraId="24225CEA" w14:textId="77777777" w:rsidR="008629C4" w:rsidRPr="0031591B" w:rsidRDefault="008629C4" w:rsidP="007B1A28">
      <w:pPr>
        <w:pStyle w:val="Heading2"/>
      </w:pPr>
      <w:r>
        <w:t>Submission Instructions</w:t>
      </w:r>
    </w:p>
    <w:p w14:paraId="55534816" w14:textId="1D4B6C6B" w:rsidR="008629C4" w:rsidRPr="002360AD" w:rsidRDefault="008629C4" w:rsidP="008629C4">
      <w:r>
        <w:t xml:space="preserve">Responses to this </w:t>
      </w:r>
      <w:r w:rsidR="00F6026C">
        <w:t xml:space="preserve">RFP </w:t>
      </w:r>
      <w:r>
        <w:t xml:space="preserve">should be </w:t>
      </w:r>
      <w:r w:rsidRPr="00754C16">
        <w:t xml:space="preserve">submitted by </w:t>
      </w:r>
      <w:r w:rsidR="00754C16" w:rsidRPr="00754C16">
        <w:rPr>
          <w:b/>
        </w:rPr>
        <w:t>April 10</w:t>
      </w:r>
      <w:r w:rsidR="00A976B5" w:rsidRPr="00754C16">
        <w:rPr>
          <w:b/>
        </w:rPr>
        <w:t>, 2017</w:t>
      </w:r>
      <w:r w:rsidRPr="00754C16">
        <w:rPr>
          <w:b/>
        </w:rPr>
        <w:t xml:space="preserve"> at 5 p</w:t>
      </w:r>
      <w:r w:rsidR="00C73413" w:rsidRPr="00754C16">
        <w:rPr>
          <w:b/>
        </w:rPr>
        <w:t>.</w:t>
      </w:r>
      <w:r w:rsidRPr="00754C16">
        <w:rPr>
          <w:b/>
        </w:rPr>
        <w:t>m</w:t>
      </w:r>
      <w:r w:rsidR="00C73413" w:rsidRPr="00754C16">
        <w:rPr>
          <w:b/>
        </w:rPr>
        <w:t>.</w:t>
      </w:r>
      <w:r w:rsidRPr="00754C16">
        <w:rPr>
          <w:b/>
        </w:rPr>
        <w:t xml:space="preserve"> (EST)</w:t>
      </w:r>
      <w:r w:rsidRPr="00754C16">
        <w:t xml:space="preserve"> to</w:t>
      </w:r>
      <w:r>
        <w:t xml:space="preserve"> </w:t>
      </w:r>
      <w:r w:rsidRPr="00371A59">
        <w:rPr>
          <w:b/>
        </w:rPr>
        <w:t>Jazmin Hampton at Jazmin.Hampton@crisphealth.org</w:t>
      </w:r>
      <w:r>
        <w:t xml:space="preserve">. </w:t>
      </w:r>
      <w:bookmarkStart w:id="1" w:name="_Toc426404838"/>
      <w:bookmarkStart w:id="2" w:name="_Toc427257049"/>
      <w:r>
        <w:t xml:space="preserve">Proposals will be accepted via email in .pdf or .doc(x) formats. </w:t>
      </w:r>
      <w:r w:rsidR="00637BA5">
        <w:t>Bidder</w:t>
      </w:r>
      <w:r w:rsidR="00C73413">
        <w:t>s</w:t>
      </w:r>
      <w:r>
        <w:t xml:space="preserve"> should submit the proposal as one file with all content included, or as two files—one with the proposal content and a second with the appendices. </w:t>
      </w:r>
    </w:p>
    <w:p w14:paraId="77014DFA" w14:textId="77777777" w:rsidR="008629C4" w:rsidRDefault="008629C4" w:rsidP="007B1A28">
      <w:pPr>
        <w:pStyle w:val="Heading2"/>
      </w:pPr>
      <w:bookmarkStart w:id="3" w:name="_Toc427257050"/>
      <w:bookmarkEnd w:id="1"/>
      <w:bookmarkEnd w:id="2"/>
      <w:r>
        <w:t>Proposal Evaluation</w:t>
      </w:r>
      <w:bookmarkEnd w:id="3"/>
    </w:p>
    <w:p w14:paraId="081975CC" w14:textId="77777777" w:rsidR="008629C4" w:rsidRPr="007B1A28" w:rsidRDefault="008629C4" w:rsidP="007B1A28">
      <w:r>
        <w:t xml:space="preserve">Proposals will be </w:t>
      </w:r>
      <w:r w:rsidRPr="007B1A28">
        <w:t xml:space="preserve">evaluated based on: </w:t>
      </w:r>
    </w:p>
    <w:p w14:paraId="53C8BDE4" w14:textId="77777777" w:rsidR="008629C4" w:rsidRPr="007B1A28" w:rsidRDefault="008629C4" w:rsidP="008629C4">
      <w:pPr>
        <w:numPr>
          <w:ilvl w:val="0"/>
          <w:numId w:val="3"/>
        </w:numPr>
        <w:spacing w:after="200"/>
        <w:contextualSpacing/>
      </w:pPr>
      <w:r w:rsidRPr="007B1A28">
        <w:t xml:space="preserve">Experience and qualifications of the </w:t>
      </w:r>
      <w:r w:rsidR="00A43EF6" w:rsidRPr="007B1A28">
        <w:t>firm</w:t>
      </w:r>
      <w:r w:rsidR="00A976B5" w:rsidRPr="007B1A28">
        <w:t xml:space="preserve"> </w:t>
      </w:r>
      <w:r w:rsidR="007B1A28" w:rsidRPr="007B1A28">
        <w:t>in implementing hospital gainsharing programs</w:t>
      </w:r>
      <w:r w:rsidR="004F2FEA">
        <w:t>, including a methodology that can meet the requirements outlined in the Implementation Protocol</w:t>
      </w:r>
      <w:r w:rsidR="007B1A28" w:rsidRPr="007B1A28">
        <w:t>;</w:t>
      </w:r>
    </w:p>
    <w:p w14:paraId="5729C92A" w14:textId="77777777" w:rsidR="008629C4" w:rsidRPr="007B1A28" w:rsidRDefault="008629C4" w:rsidP="008629C4">
      <w:pPr>
        <w:numPr>
          <w:ilvl w:val="0"/>
          <w:numId w:val="3"/>
        </w:numPr>
        <w:spacing w:after="200"/>
        <w:contextualSpacing/>
      </w:pPr>
      <w:r w:rsidRPr="007B1A28">
        <w:t xml:space="preserve">Demonstrated understanding of Maryland’s </w:t>
      </w:r>
      <w:r w:rsidR="007B1A28" w:rsidRPr="007B1A28">
        <w:t>Care Redesign Amendment to the All-</w:t>
      </w:r>
      <w:r w:rsidRPr="007B1A28">
        <w:t>Payer</w:t>
      </w:r>
      <w:r w:rsidR="007B1A28" w:rsidRPr="007B1A28">
        <w:t xml:space="preserve"> Model, and the HCIP; </w:t>
      </w:r>
      <w:r w:rsidRPr="007B1A28">
        <w:t xml:space="preserve"> </w:t>
      </w:r>
    </w:p>
    <w:p w14:paraId="79173B54" w14:textId="528512C0" w:rsidR="008629C4" w:rsidRPr="007B1A28" w:rsidRDefault="008629C4" w:rsidP="008629C4">
      <w:pPr>
        <w:numPr>
          <w:ilvl w:val="0"/>
          <w:numId w:val="3"/>
        </w:numPr>
        <w:spacing w:after="200"/>
        <w:contextualSpacing/>
      </w:pPr>
      <w:r w:rsidRPr="007B1A28">
        <w:t xml:space="preserve">Strength of proposed </w:t>
      </w:r>
      <w:r w:rsidR="00D21356" w:rsidRPr="007B1A28">
        <w:t>team</w:t>
      </w:r>
      <w:r w:rsidRPr="007B1A28">
        <w:t xml:space="preserve"> to satisfy </w:t>
      </w:r>
      <w:r w:rsidR="00C454AF">
        <w:t>RFP</w:t>
      </w:r>
      <w:r w:rsidR="00235BAB" w:rsidRPr="007B1A28">
        <w:t xml:space="preserve"> needs</w:t>
      </w:r>
      <w:r w:rsidR="00A8656C">
        <w:t xml:space="preserve"> and timelines</w:t>
      </w:r>
      <w:r w:rsidR="007B1A28" w:rsidRPr="007B1A28">
        <w:t>;</w:t>
      </w:r>
    </w:p>
    <w:p w14:paraId="0B4BF503" w14:textId="77777777" w:rsidR="008629C4" w:rsidRPr="00235BAB" w:rsidRDefault="00A976B5" w:rsidP="008629C4">
      <w:pPr>
        <w:numPr>
          <w:ilvl w:val="0"/>
          <w:numId w:val="3"/>
        </w:numPr>
        <w:spacing w:after="200"/>
        <w:contextualSpacing/>
      </w:pPr>
      <w:r w:rsidRPr="007B1A28">
        <w:t>Reference review</w:t>
      </w:r>
      <w:r w:rsidR="007B1A28">
        <w:t xml:space="preserve">; and </w:t>
      </w:r>
    </w:p>
    <w:p w14:paraId="7C03325A" w14:textId="77777777" w:rsidR="008629C4" w:rsidRPr="00235BAB" w:rsidRDefault="008629C4" w:rsidP="008629C4">
      <w:pPr>
        <w:numPr>
          <w:ilvl w:val="0"/>
          <w:numId w:val="3"/>
        </w:numPr>
        <w:spacing w:after="200"/>
        <w:contextualSpacing/>
      </w:pPr>
      <w:r w:rsidRPr="00235BAB">
        <w:t>Review of pric</w:t>
      </w:r>
      <w:r w:rsidR="00C873F8" w:rsidRPr="00235BAB">
        <w:t>ing information</w:t>
      </w:r>
      <w:r w:rsidR="00A976B5" w:rsidRPr="00235BAB">
        <w:t xml:space="preserve"> in the financial proposal</w:t>
      </w:r>
      <w:r w:rsidR="007B1A28">
        <w:t>.</w:t>
      </w:r>
    </w:p>
    <w:p w14:paraId="21AFA4BA" w14:textId="77777777" w:rsidR="008629C4" w:rsidRPr="00AF09B7" w:rsidRDefault="008629C4" w:rsidP="008629C4">
      <w:pPr>
        <w:pStyle w:val="Heading1"/>
        <w:rPr>
          <w:color w:val="000000"/>
        </w:rPr>
      </w:pPr>
      <w:r>
        <w:t xml:space="preserve">3. </w:t>
      </w:r>
      <w:r w:rsidR="00396F46">
        <w:t>Statement of Work</w:t>
      </w:r>
      <w:r>
        <w:t xml:space="preserve"> </w:t>
      </w:r>
    </w:p>
    <w:p w14:paraId="6A4F3B20" w14:textId="10CEABE6" w:rsidR="00092198" w:rsidRDefault="003502D5" w:rsidP="00092198">
      <w:r>
        <w:t xml:space="preserve">The statement of work to be completed under this </w:t>
      </w:r>
      <w:r w:rsidR="007831EF">
        <w:t>RFP</w:t>
      </w:r>
      <w:r>
        <w:t xml:space="preserve"> is </w:t>
      </w:r>
      <w:r w:rsidR="00E412A9">
        <w:t xml:space="preserve">described </w:t>
      </w:r>
      <w:r w:rsidR="00E412A9" w:rsidRPr="00DA7A12">
        <w:t>below.</w:t>
      </w:r>
      <w:r w:rsidR="005C1C42" w:rsidRPr="00DA7A12">
        <w:t xml:space="preserve">  CRISP will consider bids to complete one or more subsets of the scope of work.  </w:t>
      </w:r>
      <w:r w:rsidR="00E412A9">
        <w:t xml:space="preserve">  </w:t>
      </w:r>
      <w:bookmarkStart w:id="4" w:name="_Toc426404851"/>
      <w:bookmarkStart w:id="5" w:name="_Toc427257055"/>
    </w:p>
    <w:p w14:paraId="7C9C265E" w14:textId="77777777" w:rsidR="00396F46" w:rsidRDefault="00005E4E" w:rsidP="00396F46">
      <w:pPr>
        <w:pStyle w:val="ListParagraph"/>
        <w:numPr>
          <w:ilvl w:val="0"/>
          <w:numId w:val="19"/>
        </w:numPr>
      </w:pPr>
      <w:r>
        <w:t xml:space="preserve"> </w:t>
      </w:r>
      <w:r w:rsidR="00396F46">
        <w:t xml:space="preserve">Hospital </w:t>
      </w:r>
      <w:r w:rsidR="003502D5">
        <w:t xml:space="preserve">recruitment </w:t>
      </w:r>
      <w:r w:rsidR="00396F46">
        <w:t>and care partner participation.</w:t>
      </w:r>
    </w:p>
    <w:p w14:paraId="0D78EBFF" w14:textId="77777777" w:rsidR="00396F46" w:rsidRDefault="00396F46" w:rsidP="00396F46">
      <w:pPr>
        <w:pStyle w:val="ListParagraph"/>
        <w:numPr>
          <w:ilvl w:val="0"/>
          <w:numId w:val="15"/>
        </w:numPr>
      </w:pPr>
      <w:r>
        <w:t>Annually collect and review hospitals’ Implementation Protocols for compliance with program requirements.  Communicate requested revisions to hospitals and coordinate responses.</w:t>
      </w:r>
    </w:p>
    <w:p w14:paraId="73025540" w14:textId="77777777" w:rsidR="00396F46" w:rsidRPr="000C48E9" w:rsidRDefault="00396F46" w:rsidP="00396F46">
      <w:pPr>
        <w:pStyle w:val="ListParagraph"/>
        <w:numPr>
          <w:ilvl w:val="0"/>
          <w:numId w:val="15"/>
        </w:numPr>
      </w:pPr>
      <w:r>
        <w:t xml:space="preserve">Establish and implement process to collect hospitals’ annual Participation </w:t>
      </w:r>
      <w:r w:rsidRPr="000C48E9">
        <w:t xml:space="preserve">Agreements with completed </w:t>
      </w:r>
      <w:r>
        <w:t>D</w:t>
      </w:r>
      <w:r w:rsidRPr="000C48E9">
        <w:t xml:space="preserve">ata </w:t>
      </w:r>
      <w:r>
        <w:t>A</w:t>
      </w:r>
      <w:r w:rsidRPr="000C48E9">
        <w:t xml:space="preserve">ttestation forms.  </w:t>
      </w:r>
    </w:p>
    <w:p w14:paraId="3B8D5A42" w14:textId="77777777" w:rsidR="00396F46" w:rsidRDefault="00396F46" w:rsidP="00396F46">
      <w:pPr>
        <w:pStyle w:val="ListParagraph"/>
        <w:numPr>
          <w:ilvl w:val="0"/>
          <w:numId w:val="15"/>
        </w:numPr>
      </w:pPr>
      <w:r>
        <w:t>Facilitate care partner vetting:</w:t>
      </w:r>
    </w:p>
    <w:p w14:paraId="38CC5FEE" w14:textId="77777777" w:rsidR="00396F46" w:rsidRDefault="00396F46" w:rsidP="00396F46">
      <w:pPr>
        <w:pStyle w:val="ListParagraph"/>
        <w:numPr>
          <w:ilvl w:val="1"/>
          <w:numId w:val="15"/>
        </w:numPr>
      </w:pPr>
      <w:r>
        <w:t>Review, perform data quality edits, and validate care partner vetting list, on a quarterly basis.</w:t>
      </w:r>
    </w:p>
    <w:p w14:paraId="13891205" w14:textId="77777777" w:rsidR="00396F46" w:rsidRDefault="00396F46" w:rsidP="00396F46">
      <w:pPr>
        <w:pStyle w:val="ListParagraph"/>
        <w:numPr>
          <w:ilvl w:val="1"/>
          <w:numId w:val="15"/>
        </w:numPr>
      </w:pPr>
      <w:r>
        <w:t>Prepare care partner vetting intake submission to CMS, on a quarterly basis.</w:t>
      </w:r>
    </w:p>
    <w:p w14:paraId="0C84F428" w14:textId="77777777" w:rsidR="00396F46" w:rsidRDefault="00396F46" w:rsidP="00396F46">
      <w:pPr>
        <w:pStyle w:val="ListParagraph"/>
        <w:numPr>
          <w:ilvl w:val="1"/>
          <w:numId w:val="15"/>
        </w:numPr>
      </w:pPr>
      <w:r>
        <w:t>Distribute CMS-vetted care partner lists to hospitals, on a quarterly basis.</w:t>
      </w:r>
    </w:p>
    <w:p w14:paraId="639747B2" w14:textId="77777777" w:rsidR="00396F46" w:rsidRDefault="00396F46" w:rsidP="00396F46">
      <w:pPr>
        <w:pStyle w:val="ListParagraph"/>
        <w:numPr>
          <w:ilvl w:val="0"/>
          <w:numId w:val="15"/>
        </w:numPr>
      </w:pPr>
      <w:r>
        <w:t>Draft and disseminate physician handbook/care partner agreement template to hospitals.</w:t>
      </w:r>
    </w:p>
    <w:p w14:paraId="3DA6551A" w14:textId="77777777" w:rsidR="00396F46" w:rsidRDefault="00396F46" w:rsidP="00396F46">
      <w:pPr>
        <w:pStyle w:val="ListParagraph"/>
        <w:numPr>
          <w:ilvl w:val="0"/>
          <w:numId w:val="15"/>
        </w:numPr>
      </w:pPr>
      <w:r>
        <w:t>Enroll and track vetted participating physicians who complete care partner agreements, on a quarterly basis.</w:t>
      </w:r>
    </w:p>
    <w:p w14:paraId="311B8D54" w14:textId="5097FA25" w:rsidR="00396F46" w:rsidRDefault="00396F46" w:rsidP="00900CCF">
      <w:pPr>
        <w:pStyle w:val="ListParagraph"/>
        <w:numPr>
          <w:ilvl w:val="0"/>
          <w:numId w:val="15"/>
        </w:numPr>
      </w:pPr>
      <w:r>
        <w:lastRenderedPageBreak/>
        <w:t xml:space="preserve">On behalf of hospitals, submit required documents to CMS through </w:t>
      </w:r>
      <w:r w:rsidR="00C81D0D">
        <w:t xml:space="preserve">the </w:t>
      </w:r>
      <w:r>
        <w:t xml:space="preserve">CMS portal.  Conduct quality control of hospital documentation, communicate need for corrections to hospitals, and conduct follow-up with hospitals missing required documentation. </w:t>
      </w:r>
    </w:p>
    <w:p w14:paraId="0909A2EA" w14:textId="77777777" w:rsidR="00900CCF" w:rsidRDefault="00900CCF" w:rsidP="00900CCF">
      <w:pPr>
        <w:pStyle w:val="ListParagraph"/>
      </w:pPr>
    </w:p>
    <w:p w14:paraId="51BBA4DA" w14:textId="77777777" w:rsidR="00396F46" w:rsidRDefault="00396F46" w:rsidP="00396F46">
      <w:pPr>
        <w:pStyle w:val="ListParagraph"/>
        <w:numPr>
          <w:ilvl w:val="0"/>
          <w:numId w:val="19"/>
        </w:numPr>
      </w:pPr>
      <w:r>
        <w:t xml:space="preserve">Program operations requirements and </w:t>
      </w:r>
      <w:r w:rsidR="003502D5">
        <w:t xml:space="preserve">hospital and care partner </w:t>
      </w:r>
      <w:r>
        <w:t>program materials.</w:t>
      </w:r>
    </w:p>
    <w:p w14:paraId="26B021BA" w14:textId="77777777" w:rsidR="00396F46" w:rsidRDefault="00396F46" w:rsidP="00396F46">
      <w:pPr>
        <w:pStyle w:val="ListParagraph"/>
        <w:numPr>
          <w:ilvl w:val="0"/>
          <w:numId w:val="15"/>
        </w:numPr>
      </w:pPr>
      <w:r>
        <w:t xml:space="preserve">Maintain and update annual HCIP calendar, in coordination with the </w:t>
      </w:r>
      <w:r w:rsidR="00900CCF">
        <w:t xml:space="preserve">overarching </w:t>
      </w:r>
      <w:r>
        <w:t>care redesign calendar.</w:t>
      </w:r>
    </w:p>
    <w:p w14:paraId="4E0AB0F0" w14:textId="77777777" w:rsidR="00396F46" w:rsidRDefault="00396F46" w:rsidP="00396F46">
      <w:pPr>
        <w:pStyle w:val="ListParagraph"/>
        <w:numPr>
          <w:ilvl w:val="0"/>
          <w:numId w:val="15"/>
        </w:numPr>
      </w:pPr>
      <w:r>
        <w:t xml:space="preserve">Develop, revise, update, and disseminate standardized </w:t>
      </w:r>
      <w:r w:rsidR="003502D5">
        <w:t xml:space="preserve">hospital and care partner </w:t>
      </w:r>
      <w:r>
        <w:t>program materials, considering stakeholder feedback and program results.</w:t>
      </w:r>
    </w:p>
    <w:p w14:paraId="0B32D543" w14:textId="77777777" w:rsidR="00396F46" w:rsidRDefault="00396F46" w:rsidP="00396F46">
      <w:pPr>
        <w:pStyle w:val="ListParagraph"/>
        <w:numPr>
          <w:ilvl w:val="0"/>
          <w:numId w:val="15"/>
        </w:numPr>
      </w:pPr>
      <w:r>
        <w:t>Develop guidelines for documenting patient notification of HCIP through data sharing policy.</w:t>
      </w:r>
    </w:p>
    <w:p w14:paraId="382C184C" w14:textId="77777777" w:rsidR="00396F46" w:rsidRDefault="00396F46" w:rsidP="00396F46">
      <w:pPr>
        <w:pStyle w:val="ListParagraph"/>
      </w:pPr>
    </w:p>
    <w:p w14:paraId="0EACF4DA" w14:textId="77777777" w:rsidR="00396F46" w:rsidRDefault="00396F46" w:rsidP="00396F46">
      <w:pPr>
        <w:pStyle w:val="ListParagraph"/>
        <w:numPr>
          <w:ilvl w:val="0"/>
          <w:numId w:val="19"/>
        </w:numPr>
      </w:pPr>
      <w:r>
        <w:t>Training, education, and technical assistance for hospitals and care partners.</w:t>
      </w:r>
    </w:p>
    <w:p w14:paraId="1C3A0F7C" w14:textId="77777777" w:rsidR="00396F46" w:rsidRDefault="00396F46" w:rsidP="00396F46">
      <w:pPr>
        <w:pStyle w:val="ListParagraph"/>
        <w:numPr>
          <w:ilvl w:val="0"/>
          <w:numId w:val="15"/>
        </w:numPr>
      </w:pPr>
      <w:r>
        <w:t>Manage central HCIP email address to receive, answer, and track questions, and to disseminate HCIP information to hospitals</w:t>
      </w:r>
      <w:r w:rsidR="00900CCF">
        <w:t xml:space="preserve"> and stakeholders</w:t>
      </w:r>
      <w:r>
        <w:t>.</w:t>
      </w:r>
    </w:p>
    <w:p w14:paraId="7A70DC0A" w14:textId="77777777" w:rsidR="00396F46" w:rsidRDefault="00396F46" w:rsidP="00396F46">
      <w:pPr>
        <w:pStyle w:val="ListParagraph"/>
        <w:numPr>
          <w:ilvl w:val="0"/>
          <w:numId w:val="15"/>
        </w:numPr>
      </w:pPr>
      <w:r>
        <w:t xml:space="preserve">Provide HCIP-specific website content for inclusion in </w:t>
      </w:r>
      <w:r w:rsidR="007D3890">
        <w:t xml:space="preserve">overarching </w:t>
      </w:r>
      <w:r>
        <w:t>care redesign website.</w:t>
      </w:r>
    </w:p>
    <w:p w14:paraId="56B65D39" w14:textId="77777777" w:rsidR="00396F46" w:rsidRDefault="00396F46" w:rsidP="00396F46">
      <w:pPr>
        <w:pStyle w:val="ListParagraph"/>
        <w:numPr>
          <w:ilvl w:val="0"/>
          <w:numId w:val="15"/>
        </w:numPr>
      </w:pPr>
      <w:r>
        <w:t xml:space="preserve">Meet with hospitals to explain HCIP and to </w:t>
      </w:r>
      <w:r w:rsidR="00932769">
        <w:t>provide technical assistance</w:t>
      </w:r>
      <w:r>
        <w:t xml:space="preserve"> on hospital care redesign in</w:t>
      </w:r>
      <w:r w:rsidR="007D3890">
        <w:t>terventions.</w:t>
      </w:r>
    </w:p>
    <w:p w14:paraId="2D233BA2" w14:textId="77777777" w:rsidR="007D3890" w:rsidRDefault="007D3890" w:rsidP="00396F46">
      <w:pPr>
        <w:pStyle w:val="ListParagraph"/>
        <w:numPr>
          <w:ilvl w:val="1"/>
          <w:numId w:val="15"/>
        </w:numPr>
      </w:pPr>
      <w:r>
        <w:t>Review/advise on hospital-specific implementation plans, timelines, and educational materials.</w:t>
      </w:r>
    </w:p>
    <w:p w14:paraId="3BB38D38" w14:textId="77777777" w:rsidR="00396F46" w:rsidRDefault="007D3890" w:rsidP="00396F46">
      <w:pPr>
        <w:pStyle w:val="ListParagraph"/>
        <w:numPr>
          <w:ilvl w:val="1"/>
          <w:numId w:val="15"/>
        </w:numPr>
      </w:pPr>
      <w:r>
        <w:t xml:space="preserve">Review/advise on hospital-specific </w:t>
      </w:r>
      <w:r w:rsidR="00396F46">
        <w:t>conditions of care redesign initiative payments for care partners.</w:t>
      </w:r>
    </w:p>
    <w:p w14:paraId="723D6F3D" w14:textId="77777777" w:rsidR="00396F46" w:rsidRDefault="007D3890" w:rsidP="00396F46">
      <w:pPr>
        <w:pStyle w:val="ListParagraph"/>
        <w:numPr>
          <w:ilvl w:val="1"/>
          <w:numId w:val="15"/>
        </w:numPr>
      </w:pPr>
      <w:r>
        <w:t xml:space="preserve">Review/advise on </w:t>
      </w:r>
      <w:r w:rsidR="00396F46">
        <w:t>hospital-specific quality parameters.</w:t>
      </w:r>
    </w:p>
    <w:p w14:paraId="39E16575" w14:textId="77777777" w:rsidR="00EC7B99" w:rsidRDefault="00932769" w:rsidP="00932769">
      <w:pPr>
        <w:pStyle w:val="ListParagraph"/>
        <w:numPr>
          <w:ilvl w:val="0"/>
          <w:numId w:val="15"/>
        </w:numPr>
      </w:pPr>
      <w:r>
        <w:t>Meet with physician groups to explain HCIP to hospital physicians.</w:t>
      </w:r>
    </w:p>
    <w:p w14:paraId="16FDFB5E" w14:textId="77777777" w:rsidR="00396F46" w:rsidRDefault="00932769" w:rsidP="00932769">
      <w:pPr>
        <w:pStyle w:val="ListParagraph"/>
        <w:numPr>
          <w:ilvl w:val="0"/>
          <w:numId w:val="15"/>
        </w:numPr>
      </w:pPr>
      <w:r>
        <w:t xml:space="preserve">Convene a series of webinars and/or regional in-person meetings regarding program operations.  Facilitate hospital sharing of experiences.  </w:t>
      </w:r>
    </w:p>
    <w:p w14:paraId="28A11207" w14:textId="77777777" w:rsidR="00EC7B99" w:rsidRPr="00900CCF" w:rsidRDefault="00EC7B99" w:rsidP="00EC7B99">
      <w:pPr>
        <w:pStyle w:val="ListParagraph"/>
        <w:numPr>
          <w:ilvl w:val="0"/>
          <w:numId w:val="15"/>
        </w:numPr>
      </w:pPr>
      <w:r>
        <w:t xml:space="preserve">Provide as </w:t>
      </w:r>
      <w:r w:rsidRPr="00900CCF">
        <w:t xml:space="preserve">needed training and assistance to hospitals to launch the program </w:t>
      </w:r>
      <w:r>
        <w:t xml:space="preserve">initially, </w:t>
      </w:r>
      <w:r w:rsidRPr="00900CCF">
        <w:t xml:space="preserve">and </w:t>
      </w:r>
      <w:r>
        <w:t xml:space="preserve">to </w:t>
      </w:r>
      <w:r w:rsidRPr="00900CCF">
        <w:t>provide information on any future year changes.</w:t>
      </w:r>
    </w:p>
    <w:p w14:paraId="463D57F5" w14:textId="184C30F7" w:rsidR="0076020D" w:rsidRPr="00900CCF" w:rsidRDefault="006434E0" w:rsidP="00396F46">
      <w:pPr>
        <w:pStyle w:val="ListParagraph"/>
        <w:numPr>
          <w:ilvl w:val="0"/>
          <w:numId w:val="15"/>
        </w:numPr>
      </w:pPr>
      <w:r>
        <w:t>P</w:t>
      </w:r>
      <w:r w:rsidR="00900CCF" w:rsidRPr="00900CCF">
        <w:t xml:space="preserve">rovide </w:t>
      </w:r>
      <w:r w:rsidR="008A3747">
        <w:t>high-</w:t>
      </w:r>
      <w:r w:rsidR="007F1E64">
        <w:t xml:space="preserve">level </w:t>
      </w:r>
      <w:r w:rsidR="00900CCF" w:rsidRPr="00900CCF">
        <w:t xml:space="preserve">HCIP content for </w:t>
      </w:r>
      <w:r w:rsidR="008A3747">
        <w:t xml:space="preserve">care redesign </w:t>
      </w:r>
      <w:r w:rsidR="00900CCF" w:rsidRPr="00900CCF">
        <w:t xml:space="preserve">communications that </w:t>
      </w:r>
      <w:r w:rsidR="00C4440C">
        <w:t>describe the Care Redesign programs generally.</w:t>
      </w:r>
    </w:p>
    <w:p w14:paraId="3A641B6F" w14:textId="77777777" w:rsidR="00396F46" w:rsidRDefault="00396F46" w:rsidP="00396F46">
      <w:pPr>
        <w:pStyle w:val="ListParagraph"/>
      </w:pPr>
    </w:p>
    <w:p w14:paraId="2D7D4B77" w14:textId="77777777" w:rsidR="00396F46" w:rsidRPr="00535A10" w:rsidRDefault="00396F46" w:rsidP="00396F46">
      <w:pPr>
        <w:pStyle w:val="ListParagraph"/>
        <w:numPr>
          <w:ilvl w:val="0"/>
          <w:numId w:val="19"/>
        </w:numPr>
      </w:pPr>
      <w:r>
        <w:t xml:space="preserve">Data collection, analysis, and reporting. </w:t>
      </w:r>
    </w:p>
    <w:p w14:paraId="2D223A6A" w14:textId="05FF9EE8" w:rsidR="00396F46" w:rsidRDefault="00C4440C" w:rsidP="00396F46">
      <w:pPr>
        <w:pStyle w:val="ListParagraph"/>
        <w:numPr>
          <w:ilvl w:val="0"/>
          <w:numId w:val="15"/>
        </w:numPr>
      </w:pPr>
      <w:r>
        <w:t>Using a methodology that meets the requirements of the program (see Implementation Protocol), p</w:t>
      </w:r>
      <w:r w:rsidR="00396F46">
        <w:t xml:space="preserve">rovide hospitals with </w:t>
      </w:r>
      <w:r w:rsidR="00670489">
        <w:t xml:space="preserve">the </w:t>
      </w:r>
      <w:r w:rsidR="00396F46">
        <w:t>total available incentive calculation methodology</w:t>
      </w:r>
      <w:r w:rsidR="00670489">
        <w:t>,</w:t>
      </w:r>
      <w:r w:rsidR="00396F46">
        <w:t xml:space="preserve"> performance incentive calculations, and verify incentive payments earned by care partners. </w:t>
      </w:r>
    </w:p>
    <w:p w14:paraId="1527C43C" w14:textId="6F7EAE1D" w:rsidR="00396F46" w:rsidRDefault="00C4440C" w:rsidP="007C5191">
      <w:pPr>
        <w:pStyle w:val="ListParagraph"/>
        <w:numPr>
          <w:ilvl w:val="0"/>
          <w:numId w:val="15"/>
        </w:numPr>
      </w:pPr>
      <w:r>
        <w:t>Receive care redesign and quality</w:t>
      </w:r>
      <w:r w:rsidR="00396F46">
        <w:t xml:space="preserve"> data </w:t>
      </w:r>
      <w:r>
        <w:t xml:space="preserve">from hospitals </w:t>
      </w:r>
      <w:r w:rsidR="00396F46">
        <w:t xml:space="preserve">on a quarterly basis.  Prepare quarterly data for resource utilization </w:t>
      </w:r>
      <w:r>
        <w:t>calculation based on approved methodology</w:t>
      </w:r>
      <w:r w:rsidR="00396F46">
        <w:t xml:space="preserve">.  Analyze quarterly data based on </w:t>
      </w:r>
      <w:r>
        <w:t xml:space="preserve">approved </w:t>
      </w:r>
      <w:r w:rsidR="00396F46">
        <w:t>resource utilization calculation, run data quality checks, and send to hospitals for review.  Correct data as needed.  Run analyses for reports and incentive payments.</w:t>
      </w:r>
      <w:r w:rsidR="001E677F">
        <w:t xml:space="preserve">  </w:t>
      </w:r>
    </w:p>
    <w:p w14:paraId="319FEF77" w14:textId="77777777" w:rsidR="00396F46" w:rsidRDefault="00396F46" w:rsidP="00396F46">
      <w:pPr>
        <w:pStyle w:val="ListParagraph"/>
        <w:numPr>
          <w:ilvl w:val="0"/>
          <w:numId w:val="15"/>
        </w:numPr>
      </w:pPr>
      <w:r>
        <w:t>Generate physician and hospital-level reports on a semi-annual basis, and review reports with hospitals.</w:t>
      </w:r>
    </w:p>
    <w:p w14:paraId="5FB26E83" w14:textId="77777777" w:rsidR="00396F46" w:rsidRDefault="00396F46" w:rsidP="00396F46">
      <w:pPr>
        <w:pStyle w:val="ListParagraph"/>
        <w:numPr>
          <w:ilvl w:val="0"/>
          <w:numId w:val="15"/>
        </w:numPr>
      </w:pPr>
      <w:r>
        <w:t>Collect and review payment adjustments/corrections on an annual basis.</w:t>
      </w:r>
    </w:p>
    <w:p w14:paraId="5B467FF7" w14:textId="69EA7EC7" w:rsidR="00396F46" w:rsidRDefault="00396F46" w:rsidP="00396F46">
      <w:pPr>
        <w:pStyle w:val="ListParagraph"/>
        <w:numPr>
          <w:ilvl w:val="0"/>
          <w:numId w:val="15"/>
        </w:numPr>
      </w:pPr>
      <w:r>
        <w:lastRenderedPageBreak/>
        <w:t xml:space="preserve">Review hospitals’ conditions of care redesign </w:t>
      </w:r>
      <w:r w:rsidR="00C4440C">
        <w:t xml:space="preserve">incentive </w:t>
      </w:r>
      <w:r>
        <w:t>payments for eligible physicians on a quarterly basis.</w:t>
      </w:r>
    </w:p>
    <w:p w14:paraId="3AA8018B" w14:textId="77777777" w:rsidR="00396F46" w:rsidRDefault="00396F46" w:rsidP="00396F46">
      <w:pPr>
        <w:pStyle w:val="ListParagraph"/>
        <w:numPr>
          <w:ilvl w:val="0"/>
          <w:numId w:val="15"/>
        </w:numPr>
      </w:pPr>
      <w:r>
        <w:t>Review hospital specific quality parameters on a quarterly basis.</w:t>
      </w:r>
    </w:p>
    <w:p w14:paraId="5A501107" w14:textId="77777777" w:rsidR="00396F46" w:rsidRDefault="00396F46" w:rsidP="00396F46">
      <w:pPr>
        <w:pStyle w:val="ListParagraph"/>
        <w:numPr>
          <w:ilvl w:val="0"/>
          <w:numId w:val="15"/>
        </w:numPr>
      </w:pPr>
      <w:r>
        <w:t>Prepare readmission and mortality reports on a quarterly basis.</w:t>
      </w:r>
    </w:p>
    <w:p w14:paraId="4CAA2A16" w14:textId="77777777" w:rsidR="00396F46" w:rsidRDefault="00396F46" w:rsidP="00396F46">
      <w:pPr>
        <w:pStyle w:val="ListParagraph"/>
        <w:numPr>
          <w:ilvl w:val="0"/>
          <w:numId w:val="15"/>
        </w:numPr>
      </w:pPr>
      <w:r>
        <w:t>Prepare incentive payment summary reports on an annual basis.</w:t>
      </w:r>
    </w:p>
    <w:p w14:paraId="371D6117" w14:textId="77777777" w:rsidR="00396F46" w:rsidRDefault="00396F46" w:rsidP="00396F46">
      <w:pPr>
        <w:pStyle w:val="ListParagraph"/>
        <w:numPr>
          <w:ilvl w:val="0"/>
          <w:numId w:val="15"/>
        </w:numPr>
      </w:pPr>
      <w:r>
        <w:t>Prepare savings reports on an annual basis.</w:t>
      </w:r>
    </w:p>
    <w:p w14:paraId="2DBD19F4" w14:textId="79A1B126" w:rsidR="00A8656C" w:rsidRDefault="00A8656C" w:rsidP="00CC3C24">
      <w:pPr>
        <w:pStyle w:val="ListParagraph"/>
        <w:numPr>
          <w:ilvl w:val="0"/>
          <w:numId w:val="15"/>
        </w:numPr>
      </w:pPr>
      <w:r>
        <w:t xml:space="preserve">Work in collaboration with the </w:t>
      </w:r>
      <w:r w:rsidR="00924E1A">
        <w:t>Maryland Hospital Association (</w:t>
      </w:r>
      <w:r>
        <w:t>MHA</w:t>
      </w:r>
      <w:r w:rsidR="00924E1A">
        <w:t>)</w:t>
      </w:r>
      <w:r>
        <w:t xml:space="preserve"> and other stakeholders to support hospital compliance of all data collection and reporting requirements</w:t>
      </w:r>
      <w:r w:rsidR="001F53DE">
        <w:t>.</w:t>
      </w:r>
      <w:r>
        <w:t xml:space="preserve"> </w:t>
      </w:r>
    </w:p>
    <w:p w14:paraId="4A997896" w14:textId="59E3837A" w:rsidR="007C5191" w:rsidRDefault="007C5191" w:rsidP="00CC3C24">
      <w:pPr>
        <w:pStyle w:val="ListParagraph"/>
        <w:numPr>
          <w:ilvl w:val="0"/>
          <w:numId w:val="15"/>
        </w:numPr>
      </w:pPr>
      <w:r w:rsidRPr="00195D58">
        <w:t xml:space="preserve">The reports delivered under this RFP shall be owned by CRISP and the participating hospital. </w:t>
      </w:r>
    </w:p>
    <w:p w14:paraId="7CB3EF40" w14:textId="77777777" w:rsidR="00396F46" w:rsidRDefault="00396F46" w:rsidP="00396F46">
      <w:pPr>
        <w:pStyle w:val="ListParagraph"/>
      </w:pPr>
    </w:p>
    <w:p w14:paraId="1DEE6582" w14:textId="77777777" w:rsidR="00396F46" w:rsidRPr="004E6DC3" w:rsidRDefault="00396F46" w:rsidP="00396F46">
      <w:pPr>
        <w:pStyle w:val="ListParagraph"/>
        <w:numPr>
          <w:ilvl w:val="0"/>
          <w:numId w:val="19"/>
        </w:numPr>
      </w:pPr>
      <w:r w:rsidRPr="004E6DC3">
        <w:t>Program monitoring</w:t>
      </w:r>
    </w:p>
    <w:p w14:paraId="5DB8FE6C" w14:textId="189A9AB4" w:rsidR="004E6DC3" w:rsidRPr="001F53DE" w:rsidRDefault="004E6DC3" w:rsidP="004E6DC3">
      <w:pPr>
        <w:pStyle w:val="ListParagraph"/>
        <w:numPr>
          <w:ilvl w:val="0"/>
          <w:numId w:val="15"/>
        </w:numPr>
        <w:rPr>
          <w:rFonts w:ascii="Calibri" w:hAnsi="Calibri"/>
        </w:rPr>
      </w:pPr>
      <w:r w:rsidRPr="001F53DE">
        <w:t>Receive and review reports on a routine basis (</w:t>
      </w:r>
      <w:r w:rsidR="00D2249D">
        <w:t>e.g</w:t>
      </w:r>
      <w:r w:rsidRPr="001F53DE">
        <w:t>.</w:t>
      </w:r>
      <w:r w:rsidR="001F53DE" w:rsidRPr="001F53DE">
        <w:t>,</w:t>
      </w:r>
      <w:r w:rsidRPr="001F53DE">
        <w:t xml:space="preserve"> quarterly) to ensure the hospital program is implemented and consistent with the </w:t>
      </w:r>
      <w:r w:rsidR="001F53DE" w:rsidRPr="001F53DE">
        <w:t>Implementation Protocol</w:t>
      </w:r>
      <w:r w:rsidRPr="001F53DE">
        <w:t>.</w:t>
      </w:r>
    </w:p>
    <w:p w14:paraId="7135AC5F" w14:textId="77777777" w:rsidR="00396F46" w:rsidRDefault="00396F46" w:rsidP="00396F46">
      <w:pPr>
        <w:pStyle w:val="ListParagraph"/>
        <w:numPr>
          <w:ilvl w:val="0"/>
          <w:numId w:val="15"/>
        </w:numPr>
      </w:pPr>
      <w:r>
        <w:t xml:space="preserve">In the event </w:t>
      </w:r>
      <w:r w:rsidR="00C34174">
        <w:t>CMS or the</w:t>
      </w:r>
      <w:r>
        <w:t xml:space="preserve"> State requires </w:t>
      </w:r>
      <w:r w:rsidR="00AF76A9">
        <w:t xml:space="preserve">a </w:t>
      </w:r>
      <w:r>
        <w:t xml:space="preserve">hospital </w:t>
      </w:r>
      <w:r w:rsidR="00AF76A9">
        <w:t xml:space="preserve">to implement a </w:t>
      </w:r>
      <w:r>
        <w:t>pe</w:t>
      </w:r>
      <w:r w:rsidR="00AF76A9">
        <w:t>rformance improvement plan</w:t>
      </w:r>
      <w:r>
        <w:t>, c</w:t>
      </w:r>
      <w:r w:rsidRPr="00004A30">
        <w:t xml:space="preserve">oordinate communication </w:t>
      </w:r>
      <w:r w:rsidR="00AF76A9">
        <w:t xml:space="preserve">regarding the plan </w:t>
      </w:r>
      <w:r w:rsidR="00060239">
        <w:t>with</w:t>
      </w:r>
      <w:r w:rsidR="00AF76A9">
        <w:t xml:space="preserve"> the hospital</w:t>
      </w:r>
      <w:r>
        <w:t xml:space="preserve">.  </w:t>
      </w:r>
    </w:p>
    <w:p w14:paraId="3322AD40" w14:textId="77777777" w:rsidR="00396F46" w:rsidRDefault="00396F46" w:rsidP="00396F46">
      <w:pPr>
        <w:pStyle w:val="ListParagraph"/>
        <w:numPr>
          <w:ilvl w:val="0"/>
          <w:numId w:val="15"/>
        </w:numPr>
      </w:pPr>
      <w:r>
        <w:t xml:space="preserve">Develop </w:t>
      </w:r>
      <w:r w:rsidR="00AF76A9">
        <w:t xml:space="preserve">and implement a </w:t>
      </w:r>
      <w:r>
        <w:t>process to collect feedback about the program</w:t>
      </w:r>
      <w:r w:rsidR="00270A77">
        <w:t>, to m</w:t>
      </w:r>
      <w:r>
        <w:t>ake recommendations on needed program improvements in advance of a new performance year.</w:t>
      </w:r>
    </w:p>
    <w:p w14:paraId="545D4A17" w14:textId="77777777" w:rsidR="00396F46" w:rsidRDefault="00396F46" w:rsidP="00396F46">
      <w:pPr>
        <w:pStyle w:val="ListParagraph"/>
        <w:numPr>
          <w:ilvl w:val="0"/>
          <w:numId w:val="15"/>
        </w:numPr>
      </w:pPr>
      <w:r>
        <w:t xml:space="preserve">Develop and manage a dispute process to collect, track, and analyze hospital disputes regarding </w:t>
      </w:r>
      <w:r w:rsidR="007469A1">
        <w:t xml:space="preserve">program </w:t>
      </w:r>
      <w:r>
        <w:t xml:space="preserve">results and incentive amounts.  The dispute process will include a system for referring unresolved disputes to the HSCRC for review and final determination.   </w:t>
      </w:r>
    </w:p>
    <w:p w14:paraId="19F02608" w14:textId="77777777" w:rsidR="00396F46" w:rsidRDefault="00396F46" w:rsidP="00396F46">
      <w:pPr>
        <w:pStyle w:val="ListParagraph"/>
      </w:pPr>
    </w:p>
    <w:p w14:paraId="2CEFB3EF" w14:textId="77777777" w:rsidR="00447055" w:rsidRDefault="00447055" w:rsidP="007E2137">
      <w:pPr>
        <w:pStyle w:val="ListParagraph"/>
        <w:numPr>
          <w:ilvl w:val="0"/>
          <w:numId w:val="19"/>
        </w:numPr>
      </w:pPr>
      <w:r>
        <w:t>Stakeholder c</w:t>
      </w:r>
      <w:r w:rsidR="007E2137">
        <w:t xml:space="preserve">oordination </w:t>
      </w:r>
    </w:p>
    <w:p w14:paraId="02D6A60E" w14:textId="791CF25C" w:rsidR="00447055" w:rsidRDefault="00447055" w:rsidP="00447055">
      <w:pPr>
        <w:pStyle w:val="ListParagraph"/>
        <w:numPr>
          <w:ilvl w:val="0"/>
          <w:numId w:val="15"/>
        </w:numPr>
      </w:pPr>
      <w:r>
        <w:t xml:space="preserve">Coordinate </w:t>
      </w:r>
      <w:r w:rsidR="007E2137">
        <w:t xml:space="preserve">with </w:t>
      </w:r>
      <w:r w:rsidR="00924E1A">
        <w:t>MHA</w:t>
      </w:r>
      <w:r w:rsidR="007E2137">
        <w:t xml:space="preserve"> processes for engaging hospitals</w:t>
      </w:r>
      <w:r>
        <w:t>.</w:t>
      </w:r>
    </w:p>
    <w:p w14:paraId="7FAD0C79" w14:textId="1ECCD406" w:rsidR="00E412A9" w:rsidRDefault="00447055" w:rsidP="00447055">
      <w:pPr>
        <w:pStyle w:val="ListParagraph"/>
        <w:numPr>
          <w:ilvl w:val="0"/>
          <w:numId w:val="15"/>
        </w:numPr>
      </w:pPr>
      <w:r>
        <w:t>Engage and coordinate with additional stakeholders</w:t>
      </w:r>
      <w:r w:rsidR="007F60D4">
        <w:t xml:space="preserve"> as needed</w:t>
      </w:r>
      <w:r>
        <w:t xml:space="preserve">, including </w:t>
      </w:r>
      <w:r w:rsidR="007F60D4">
        <w:t xml:space="preserve">the provider community, </w:t>
      </w:r>
      <w:r>
        <w:t xml:space="preserve">other </w:t>
      </w:r>
      <w:r w:rsidR="00846758">
        <w:t>v</w:t>
      </w:r>
      <w:r>
        <w:t xml:space="preserve">endors </w:t>
      </w:r>
      <w:r w:rsidR="00846758">
        <w:t xml:space="preserve">supporting Care Redesign, </w:t>
      </w:r>
      <w:r w:rsidR="007F60D4">
        <w:t xml:space="preserve">the State of Maryland, and CMS. </w:t>
      </w:r>
    </w:p>
    <w:p w14:paraId="2CC4704D" w14:textId="77777777" w:rsidR="00FB39A0" w:rsidRDefault="00D37CE8" w:rsidP="006C5D2B">
      <w:pPr>
        <w:pStyle w:val="Heading2"/>
        <w:keepLines/>
        <w:spacing w:before="200" w:after="0" w:line="276" w:lineRule="auto"/>
        <w:contextualSpacing w:val="0"/>
        <w:rPr>
          <w:rFonts w:ascii="Arial Black" w:hAnsi="Arial Black"/>
          <w:sz w:val="48"/>
          <w:szCs w:val="48"/>
        </w:rPr>
      </w:pPr>
      <w:r>
        <w:rPr>
          <w:rFonts w:ascii="Arial Black" w:hAnsi="Arial Black"/>
          <w:sz w:val="48"/>
          <w:szCs w:val="48"/>
        </w:rPr>
        <w:t>4. Technical</w:t>
      </w:r>
      <w:r w:rsidRPr="000D0C5A">
        <w:rPr>
          <w:rFonts w:ascii="Arial Black" w:hAnsi="Arial Black"/>
          <w:sz w:val="48"/>
          <w:szCs w:val="48"/>
        </w:rPr>
        <w:t xml:space="preserve"> Proposal </w:t>
      </w:r>
      <w:r>
        <w:rPr>
          <w:rFonts w:ascii="Arial Black" w:hAnsi="Arial Black"/>
          <w:sz w:val="48"/>
          <w:szCs w:val="48"/>
        </w:rPr>
        <w:t>Content</w:t>
      </w:r>
    </w:p>
    <w:p w14:paraId="07150B93" w14:textId="6076EC5F" w:rsidR="00D37CE8" w:rsidRDefault="00214F9F" w:rsidP="00D37CE8">
      <w:r>
        <w:t xml:space="preserve">The technical proposal provides CRISP with an understanding of your company, its capabilities, and your proposed team.  The </w:t>
      </w:r>
      <w:r w:rsidR="00AF04EA">
        <w:t>technical p</w:t>
      </w:r>
      <w:r>
        <w:t xml:space="preserve">roposal must be </w:t>
      </w:r>
      <w:r w:rsidRPr="00CE6751">
        <w:t xml:space="preserve">no more than </w:t>
      </w:r>
      <w:r w:rsidR="00B42CAD">
        <w:t xml:space="preserve">15 </w:t>
      </w:r>
      <w:r w:rsidRPr="00CE6751">
        <w:t>pages.</w:t>
      </w:r>
      <w:r>
        <w:t xml:space="preserve">  Resumes may be included in appendices and do not count towards page limit.   </w:t>
      </w:r>
    </w:p>
    <w:p w14:paraId="4D69B276" w14:textId="77777777" w:rsidR="00D37CE8" w:rsidRPr="00214F9F" w:rsidRDefault="00D37CE8" w:rsidP="00D37CE8">
      <w:pPr>
        <w:pStyle w:val="Heading2"/>
      </w:pPr>
      <w:r w:rsidRPr="00214F9F">
        <w:t xml:space="preserve">Approach to the Statement of Work </w:t>
      </w:r>
    </w:p>
    <w:p w14:paraId="6AF02B36" w14:textId="3E0F1194" w:rsidR="00D37CE8" w:rsidRPr="00214F9F" w:rsidRDefault="00214F9F" w:rsidP="00D37CE8">
      <w:r w:rsidRPr="00214F9F">
        <w:t xml:space="preserve">In this section, the bidder should demonstrate understanding of HCIP and describe the proposed approach to fulfill the </w:t>
      </w:r>
      <w:r w:rsidR="00846758">
        <w:t>RFP</w:t>
      </w:r>
      <w:r w:rsidRPr="00214F9F">
        <w:t xml:space="preserve"> requirements for HCIP administration.  Specifically, the bidder should present a plan to complete the activities described in the Statement of Work</w:t>
      </w:r>
      <w:r w:rsidR="00A8656C">
        <w:t>, including a methodology that meets the specifications outlined in the Implementation Protocol</w:t>
      </w:r>
      <w:r w:rsidRPr="00214F9F">
        <w:t xml:space="preserve">. </w:t>
      </w:r>
    </w:p>
    <w:p w14:paraId="1AB6A85C" w14:textId="77777777" w:rsidR="00D37CE8" w:rsidRDefault="00C55798" w:rsidP="00D37CE8">
      <w:pPr>
        <w:pStyle w:val="Heading2"/>
      </w:pPr>
      <w:r>
        <w:t xml:space="preserve">Company Overview, </w:t>
      </w:r>
      <w:r w:rsidR="00D37CE8" w:rsidRPr="00214F9F">
        <w:t xml:space="preserve">Staffing, </w:t>
      </w:r>
      <w:r w:rsidR="002F05F2">
        <w:t xml:space="preserve">and </w:t>
      </w:r>
      <w:r w:rsidR="00D37CE8" w:rsidRPr="00214F9F">
        <w:t xml:space="preserve">Management </w:t>
      </w:r>
    </w:p>
    <w:p w14:paraId="6C65A111" w14:textId="18CB952D" w:rsidR="008121A4" w:rsidRDefault="00214F9F" w:rsidP="00214F9F">
      <w:r>
        <w:t xml:space="preserve">In this section, the bidder should provide a company overview </w:t>
      </w:r>
      <w:r w:rsidR="008121A4">
        <w:t xml:space="preserve">to describe organizational experience with the skills and substantive areas needed to complete the activities described in the Statement of Work.  </w:t>
      </w:r>
      <w:r w:rsidR="00C64652">
        <w:t xml:space="preserve">This section should also detail any relevant certifications, including MBE certifications.  </w:t>
      </w:r>
      <w:r w:rsidR="008121A4">
        <w:t xml:space="preserve">This section should </w:t>
      </w:r>
      <w:r w:rsidR="008121A4">
        <w:lastRenderedPageBreak/>
        <w:t xml:space="preserve">describe the experience and qualifications of the individual team members and their roles and availability under this </w:t>
      </w:r>
      <w:r w:rsidR="00F90C59">
        <w:t>RFP</w:t>
      </w:r>
      <w:r w:rsidR="008121A4">
        <w:t xml:space="preserve">. </w:t>
      </w:r>
      <w:r w:rsidR="00DC5930">
        <w:t xml:space="preserve"> The bidder should describe how project staff and organizational resources will be used to complete tasks, and describe the management methods to be employed in completing work. </w:t>
      </w:r>
      <w:r w:rsidR="00AF6678">
        <w:t>Resumes should be attached as an appendix and do not count towards the page limit.</w:t>
      </w:r>
    </w:p>
    <w:p w14:paraId="11E10C9A" w14:textId="77777777" w:rsidR="00214F9F" w:rsidRDefault="00214F9F" w:rsidP="00214F9F">
      <w:r>
        <w:t xml:space="preserve">The bidder should provide </w:t>
      </w:r>
      <w:r w:rsidRPr="00436B4E">
        <w:t>two</w:t>
      </w:r>
      <w:r>
        <w:t xml:space="preserve"> customers </w:t>
      </w:r>
      <w:r w:rsidR="00C64652">
        <w:t>as</w:t>
      </w:r>
      <w:r>
        <w:t xml:space="preserve"> reference</w:t>
      </w:r>
      <w:r w:rsidR="00C64652">
        <w:t xml:space="preserve">s </w:t>
      </w:r>
      <w:r>
        <w:t xml:space="preserve">(use table format in Figure </w:t>
      </w:r>
      <w:r w:rsidR="00AE751A">
        <w:t>2</w:t>
      </w:r>
      <w:r>
        <w:t xml:space="preserve">). References should be for customers with requirements similar to those envisioned by the categories of services described above. </w:t>
      </w:r>
    </w:p>
    <w:p w14:paraId="01AD3A81" w14:textId="77777777" w:rsidR="00214F9F" w:rsidRPr="00197EE0" w:rsidRDefault="00214F9F" w:rsidP="00214F9F">
      <w:pPr>
        <w:jc w:val="center"/>
        <w:rPr>
          <w:b/>
        </w:rPr>
      </w:pPr>
      <w:r w:rsidRPr="007244BD">
        <w:rPr>
          <w:b/>
        </w:rPr>
        <w:t xml:space="preserve">Figure </w:t>
      </w:r>
      <w:r w:rsidR="00AE751A">
        <w:rPr>
          <w:b/>
        </w:rPr>
        <w:t>2</w:t>
      </w:r>
      <w:r w:rsidRPr="007244BD">
        <w:rPr>
          <w:b/>
        </w:rPr>
        <w:t xml:space="preserve">: </w:t>
      </w:r>
      <w:r>
        <w:rPr>
          <w:b/>
        </w:rPr>
        <w:t xml:space="preserve">Client References </w:t>
      </w:r>
    </w:p>
    <w:tbl>
      <w:tblPr>
        <w:tblW w:w="9373" w:type="dxa"/>
        <w:tblBorders>
          <w:top w:val="single" w:sz="8" w:space="0" w:color="4F81BD"/>
          <w:bottom w:val="single" w:sz="8" w:space="0" w:color="4F81BD"/>
        </w:tblBorders>
        <w:tblLayout w:type="fixed"/>
        <w:tblLook w:val="0400" w:firstRow="0" w:lastRow="0" w:firstColumn="0" w:lastColumn="0" w:noHBand="0" w:noVBand="1"/>
      </w:tblPr>
      <w:tblGrid>
        <w:gridCol w:w="1895"/>
        <w:gridCol w:w="1784"/>
        <w:gridCol w:w="1731"/>
        <w:gridCol w:w="1731"/>
        <w:gridCol w:w="2232"/>
      </w:tblGrid>
      <w:tr w:rsidR="00214F9F" w14:paraId="031A9B9E" w14:textId="77777777" w:rsidTr="007A5FDC">
        <w:trPr>
          <w:trHeight w:val="1020"/>
        </w:trPr>
        <w:tc>
          <w:tcPr>
            <w:tcW w:w="1895" w:type="dxa"/>
            <w:tcBorders>
              <w:left w:val="nil"/>
              <w:right w:val="nil"/>
            </w:tcBorders>
            <w:shd w:val="clear" w:color="auto" w:fill="D3DFEE"/>
          </w:tcPr>
          <w:p w14:paraId="6DAA1012" w14:textId="77777777" w:rsidR="00214F9F" w:rsidRPr="002E55C3" w:rsidRDefault="00214F9F" w:rsidP="007A5FDC">
            <w:pPr>
              <w:pStyle w:val="BodyText"/>
              <w:spacing w:before="120"/>
              <w:jc w:val="center"/>
              <w:rPr>
                <w:rFonts w:cs="Arial"/>
                <w:b/>
                <w:bCs/>
                <w:i/>
                <w:color w:val="365F91"/>
                <w:sz w:val="20"/>
                <w:szCs w:val="20"/>
              </w:rPr>
            </w:pPr>
            <w:r w:rsidRPr="002E55C3">
              <w:rPr>
                <w:rFonts w:cs="Arial"/>
                <w:b/>
                <w:bCs/>
                <w:i/>
                <w:color w:val="365F91"/>
                <w:sz w:val="20"/>
                <w:szCs w:val="20"/>
              </w:rPr>
              <w:t>Client Company Name &amp; Industry</w:t>
            </w:r>
          </w:p>
        </w:tc>
        <w:tc>
          <w:tcPr>
            <w:tcW w:w="1784" w:type="dxa"/>
            <w:tcBorders>
              <w:left w:val="nil"/>
              <w:right w:val="nil"/>
            </w:tcBorders>
            <w:shd w:val="clear" w:color="auto" w:fill="D3DFEE"/>
          </w:tcPr>
          <w:p w14:paraId="30377F00" w14:textId="77777777" w:rsidR="00214F9F" w:rsidRPr="002E55C3" w:rsidRDefault="00214F9F" w:rsidP="007A5FDC">
            <w:pPr>
              <w:pStyle w:val="BodyText"/>
              <w:spacing w:before="120"/>
              <w:jc w:val="center"/>
              <w:rPr>
                <w:rFonts w:cs="Arial"/>
                <w:b/>
                <w:bCs/>
                <w:i/>
                <w:color w:val="365F91"/>
                <w:sz w:val="20"/>
                <w:szCs w:val="20"/>
              </w:rPr>
            </w:pPr>
            <w:r w:rsidRPr="002E55C3">
              <w:rPr>
                <w:rFonts w:cs="Arial"/>
                <w:b/>
                <w:bCs/>
                <w:i/>
                <w:color w:val="365F91"/>
                <w:sz w:val="20"/>
                <w:szCs w:val="20"/>
              </w:rPr>
              <w:t xml:space="preserve">Client Contact Name </w:t>
            </w:r>
          </w:p>
        </w:tc>
        <w:tc>
          <w:tcPr>
            <w:tcW w:w="1731" w:type="dxa"/>
            <w:tcBorders>
              <w:left w:val="nil"/>
              <w:right w:val="nil"/>
            </w:tcBorders>
            <w:shd w:val="clear" w:color="auto" w:fill="D3DFEE"/>
          </w:tcPr>
          <w:p w14:paraId="5C0FE22A" w14:textId="77777777" w:rsidR="00214F9F" w:rsidRPr="002E55C3" w:rsidRDefault="00214F9F" w:rsidP="007A5FDC">
            <w:pPr>
              <w:pStyle w:val="BodyText"/>
              <w:spacing w:before="120"/>
              <w:jc w:val="center"/>
              <w:rPr>
                <w:rFonts w:cs="Arial"/>
                <w:b/>
                <w:bCs/>
                <w:i/>
                <w:color w:val="365F91"/>
                <w:sz w:val="20"/>
                <w:szCs w:val="20"/>
              </w:rPr>
            </w:pPr>
            <w:r w:rsidRPr="002E55C3">
              <w:rPr>
                <w:rFonts w:cs="Arial"/>
                <w:b/>
                <w:bCs/>
                <w:i/>
                <w:color w:val="365F91"/>
                <w:sz w:val="20"/>
                <w:szCs w:val="20"/>
              </w:rPr>
              <w:t>Client Phone and/or e-mail</w:t>
            </w:r>
          </w:p>
        </w:tc>
        <w:tc>
          <w:tcPr>
            <w:tcW w:w="1731" w:type="dxa"/>
            <w:tcBorders>
              <w:left w:val="nil"/>
              <w:right w:val="nil"/>
            </w:tcBorders>
            <w:shd w:val="clear" w:color="auto" w:fill="D3DFEE"/>
          </w:tcPr>
          <w:p w14:paraId="686443D1" w14:textId="77777777" w:rsidR="00214F9F" w:rsidRPr="002E55C3" w:rsidRDefault="00214F9F" w:rsidP="007A5FDC">
            <w:pPr>
              <w:pStyle w:val="BodyText"/>
              <w:spacing w:before="120"/>
              <w:jc w:val="center"/>
              <w:rPr>
                <w:rFonts w:cs="Arial"/>
                <w:b/>
                <w:bCs/>
                <w:i/>
                <w:color w:val="365F91"/>
                <w:sz w:val="20"/>
                <w:szCs w:val="20"/>
              </w:rPr>
            </w:pPr>
            <w:r w:rsidRPr="002E55C3">
              <w:rPr>
                <w:rFonts w:cs="Arial"/>
                <w:b/>
                <w:bCs/>
                <w:i/>
                <w:color w:val="365F91"/>
                <w:sz w:val="20"/>
                <w:szCs w:val="20"/>
              </w:rPr>
              <w:t xml:space="preserve">Implementation Date </w:t>
            </w:r>
          </w:p>
        </w:tc>
        <w:tc>
          <w:tcPr>
            <w:tcW w:w="2232" w:type="dxa"/>
            <w:tcBorders>
              <w:left w:val="nil"/>
              <w:right w:val="nil"/>
            </w:tcBorders>
            <w:shd w:val="clear" w:color="auto" w:fill="D3DFEE"/>
          </w:tcPr>
          <w:p w14:paraId="698A8B9B" w14:textId="77777777" w:rsidR="00214F9F" w:rsidRPr="002E55C3" w:rsidRDefault="00214F9F" w:rsidP="007A5FDC">
            <w:pPr>
              <w:pStyle w:val="BodyText"/>
              <w:tabs>
                <w:tab w:val="left" w:pos="432"/>
                <w:tab w:val="left" w:pos="1512"/>
              </w:tabs>
              <w:spacing w:before="120"/>
              <w:jc w:val="center"/>
              <w:rPr>
                <w:rFonts w:cs="Arial"/>
                <w:b/>
                <w:bCs/>
                <w:i/>
                <w:color w:val="365F91"/>
                <w:sz w:val="20"/>
                <w:szCs w:val="20"/>
              </w:rPr>
            </w:pPr>
            <w:r w:rsidRPr="002E55C3">
              <w:rPr>
                <w:rFonts w:cs="Arial"/>
                <w:b/>
                <w:bCs/>
                <w:i/>
                <w:color w:val="365F91"/>
                <w:sz w:val="20"/>
                <w:szCs w:val="20"/>
              </w:rPr>
              <w:t xml:space="preserve">Approximate Cost of Engagement </w:t>
            </w:r>
          </w:p>
        </w:tc>
      </w:tr>
      <w:tr w:rsidR="00214F9F" w14:paraId="146546AA" w14:textId="77777777" w:rsidTr="007A5FDC">
        <w:trPr>
          <w:trHeight w:val="566"/>
        </w:trPr>
        <w:tc>
          <w:tcPr>
            <w:tcW w:w="1895" w:type="dxa"/>
            <w:vAlign w:val="center"/>
          </w:tcPr>
          <w:p w14:paraId="2ED0BBDD" w14:textId="77777777" w:rsidR="00214F9F" w:rsidRPr="002E55C3" w:rsidRDefault="00214F9F" w:rsidP="007A5FDC">
            <w:pPr>
              <w:pStyle w:val="BodyText"/>
              <w:rPr>
                <w:rFonts w:cs="Arial"/>
                <w:color w:val="365F91"/>
                <w:sz w:val="18"/>
                <w:szCs w:val="16"/>
              </w:rPr>
            </w:pPr>
            <w:r w:rsidRPr="002E55C3">
              <w:rPr>
                <w:rFonts w:cs="Arial"/>
                <w:color w:val="365F91"/>
                <w:sz w:val="18"/>
                <w:szCs w:val="16"/>
              </w:rPr>
              <w:t>1.</w:t>
            </w:r>
          </w:p>
        </w:tc>
        <w:tc>
          <w:tcPr>
            <w:tcW w:w="1784" w:type="dxa"/>
            <w:vAlign w:val="center"/>
          </w:tcPr>
          <w:p w14:paraId="18C3E15C" w14:textId="77777777" w:rsidR="00214F9F" w:rsidRPr="002E55C3" w:rsidRDefault="00214F9F" w:rsidP="007A5FDC">
            <w:pPr>
              <w:pStyle w:val="BodyText"/>
              <w:jc w:val="center"/>
              <w:rPr>
                <w:rFonts w:cs="Arial"/>
                <w:color w:val="365F91"/>
                <w:sz w:val="18"/>
                <w:szCs w:val="16"/>
              </w:rPr>
            </w:pPr>
          </w:p>
        </w:tc>
        <w:tc>
          <w:tcPr>
            <w:tcW w:w="1731" w:type="dxa"/>
            <w:vAlign w:val="center"/>
          </w:tcPr>
          <w:p w14:paraId="2DA94942" w14:textId="77777777" w:rsidR="00214F9F" w:rsidRPr="002E55C3" w:rsidRDefault="00214F9F" w:rsidP="007A5FDC">
            <w:pPr>
              <w:pStyle w:val="BodyText"/>
              <w:jc w:val="center"/>
              <w:rPr>
                <w:rFonts w:cs="Arial"/>
                <w:color w:val="365F91"/>
                <w:sz w:val="18"/>
                <w:szCs w:val="16"/>
              </w:rPr>
            </w:pPr>
          </w:p>
        </w:tc>
        <w:tc>
          <w:tcPr>
            <w:tcW w:w="1731" w:type="dxa"/>
            <w:vAlign w:val="center"/>
          </w:tcPr>
          <w:p w14:paraId="526C43B7" w14:textId="77777777" w:rsidR="00214F9F" w:rsidRPr="002E55C3" w:rsidRDefault="00214F9F" w:rsidP="007A5FDC">
            <w:pPr>
              <w:pStyle w:val="BodyText"/>
              <w:jc w:val="center"/>
              <w:rPr>
                <w:rFonts w:cs="Arial"/>
                <w:color w:val="365F91"/>
                <w:sz w:val="18"/>
                <w:szCs w:val="16"/>
              </w:rPr>
            </w:pPr>
          </w:p>
        </w:tc>
        <w:tc>
          <w:tcPr>
            <w:tcW w:w="2232" w:type="dxa"/>
            <w:vAlign w:val="center"/>
          </w:tcPr>
          <w:p w14:paraId="1E6E9C0C" w14:textId="77777777" w:rsidR="00214F9F" w:rsidRPr="002E55C3" w:rsidRDefault="00214F9F" w:rsidP="007A5FDC">
            <w:pPr>
              <w:pStyle w:val="BodyText"/>
              <w:tabs>
                <w:tab w:val="left" w:pos="432"/>
                <w:tab w:val="right" w:pos="1332"/>
                <w:tab w:val="left" w:pos="1512"/>
                <w:tab w:val="right" w:pos="2592"/>
              </w:tabs>
              <w:rPr>
                <w:rFonts w:cs="Arial"/>
                <w:color w:val="365F91"/>
                <w:sz w:val="18"/>
                <w:szCs w:val="16"/>
              </w:rPr>
            </w:pPr>
          </w:p>
        </w:tc>
      </w:tr>
      <w:tr w:rsidR="00214F9F" w14:paraId="4A84E770" w14:textId="77777777" w:rsidTr="007A5FDC">
        <w:trPr>
          <w:trHeight w:val="566"/>
        </w:trPr>
        <w:tc>
          <w:tcPr>
            <w:tcW w:w="1895" w:type="dxa"/>
            <w:tcBorders>
              <w:left w:val="nil"/>
              <w:right w:val="nil"/>
            </w:tcBorders>
            <w:shd w:val="clear" w:color="auto" w:fill="D3DFEE"/>
            <w:vAlign w:val="center"/>
          </w:tcPr>
          <w:p w14:paraId="0C54941E" w14:textId="77777777" w:rsidR="00214F9F" w:rsidRPr="002E55C3" w:rsidRDefault="00214F9F" w:rsidP="007A5FDC">
            <w:pPr>
              <w:pStyle w:val="BodyText"/>
              <w:rPr>
                <w:rFonts w:cs="Arial"/>
                <w:color w:val="365F91"/>
                <w:sz w:val="18"/>
                <w:szCs w:val="16"/>
              </w:rPr>
            </w:pPr>
            <w:r w:rsidRPr="002E55C3">
              <w:rPr>
                <w:rFonts w:cs="Arial"/>
                <w:color w:val="365F91"/>
                <w:sz w:val="18"/>
                <w:szCs w:val="16"/>
              </w:rPr>
              <w:t>2.</w:t>
            </w:r>
          </w:p>
        </w:tc>
        <w:tc>
          <w:tcPr>
            <w:tcW w:w="1784" w:type="dxa"/>
            <w:tcBorders>
              <w:left w:val="nil"/>
              <w:right w:val="nil"/>
            </w:tcBorders>
            <w:shd w:val="clear" w:color="auto" w:fill="D3DFEE"/>
            <w:vAlign w:val="center"/>
          </w:tcPr>
          <w:p w14:paraId="23C30AC2" w14:textId="77777777" w:rsidR="00214F9F" w:rsidRPr="002E55C3" w:rsidRDefault="00214F9F" w:rsidP="007A5FDC">
            <w:pPr>
              <w:pStyle w:val="BodyText"/>
              <w:jc w:val="center"/>
              <w:rPr>
                <w:rFonts w:cs="Arial"/>
                <w:color w:val="365F91"/>
                <w:sz w:val="18"/>
                <w:szCs w:val="16"/>
              </w:rPr>
            </w:pPr>
          </w:p>
        </w:tc>
        <w:tc>
          <w:tcPr>
            <w:tcW w:w="1731" w:type="dxa"/>
            <w:tcBorders>
              <w:left w:val="nil"/>
              <w:right w:val="nil"/>
            </w:tcBorders>
            <w:shd w:val="clear" w:color="auto" w:fill="D3DFEE"/>
            <w:vAlign w:val="center"/>
          </w:tcPr>
          <w:p w14:paraId="0C806F60" w14:textId="77777777" w:rsidR="00214F9F" w:rsidRPr="002E55C3" w:rsidRDefault="00214F9F" w:rsidP="007A5FDC">
            <w:pPr>
              <w:pStyle w:val="BodyText"/>
              <w:jc w:val="center"/>
              <w:rPr>
                <w:rFonts w:cs="Arial"/>
                <w:color w:val="365F91"/>
                <w:sz w:val="18"/>
                <w:szCs w:val="16"/>
              </w:rPr>
            </w:pPr>
          </w:p>
        </w:tc>
        <w:tc>
          <w:tcPr>
            <w:tcW w:w="1731" w:type="dxa"/>
            <w:tcBorders>
              <w:left w:val="nil"/>
              <w:right w:val="nil"/>
            </w:tcBorders>
            <w:shd w:val="clear" w:color="auto" w:fill="D3DFEE"/>
            <w:vAlign w:val="center"/>
          </w:tcPr>
          <w:p w14:paraId="363D6083" w14:textId="77777777" w:rsidR="00214F9F" w:rsidRPr="002E55C3" w:rsidRDefault="00214F9F" w:rsidP="007A5FDC">
            <w:pPr>
              <w:pStyle w:val="BodyText"/>
              <w:jc w:val="center"/>
              <w:rPr>
                <w:rFonts w:cs="Arial"/>
                <w:color w:val="365F91"/>
                <w:sz w:val="18"/>
                <w:szCs w:val="16"/>
              </w:rPr>
            </w:pPr>
          </w:p>
        </w:tc>
        <w:tc>
          <w:tcPr>
            <w:tcW w:w="2232" w:type="dxa"/>
            <w:tcBorders>
              <w:left w:val="nil"/>
              <w:right w:val="nil"/>
            </w:tcBorders>
            <w:shd w:val="clear" w:color="auto" w:fill="D3DFEE"/>
            <w:vAlign w:val="center"/>
          </w:tcPr>
          <w:p w14:paraId="6BAC42A0" w14:textId="77777777" w:rsidR="00214F9F" w:rsidRPr="002E55C3" w:rsidRDefault="00214F9F" w:rsidP="007A5FDC">
            <w:pPr>
              <w:pStyle w:val="BodyText"/>
              <w:tabs>
                <w:tab w:val="left" w:pos="432"/>
                <w:tab w:val="right" w:pos="1332"/>
                <w:tab w:val="left" w:pos="1512"/>
                <w:tab w:val="right" w:pos="2592"/>
              </w:tabs>
              <w:rPr>
                <w:rFonts w:cs="Arial"/>
                <w:color w:val="365F91"/>
                <w:sz w:val="18"/>
                <w:szCs w:val="16"/>
              </w:rPr>
            </w:pPr>
          </w:p>
        </w:tc>
      </w:tr>
    </w:tbl>
    <w:p w14:paraId="67AFA281" w14:textId="77777777" w:rsidR="00214F9F" w:rsidRPr="003D5E56" w:rsidRDefault="00214F9F" w:rsidP="00214F9F"/>
    <w:bookmarkEnd w:id="4"/>
    <w:bookmarkEnd w:id="5"/>
    <w:p w14:paraId="57FA2181" w14:textId="77777777" w:rsidR="008629C4" w:rsidRPr="000D0C5A" w:rsidRDefault="00214F9F" w:rsidP="008629C4">
      <w:pPr>
        <w:ind w:left="720" w:hanging="720"/>
        <w:rPr>
          <w:rFonts w:ascii="Arial Black" w:hAnsi="Arial Black"/>
          <w:color w:val="015696"/>
          <w:sz w:val="48"/>
          <w:szCs w:val="48"/>
        </w:rPr>
      </w:pPr>
      <w:r>
        <w:rPr>
          <w:rFonts w:ascii="Arial Black" w:hAnsi="Arial Black"/>
          <w:color w:val="015696"/>
          <w:sz w:val="48"/>
          <w:szCs w:val="48"/>
        </w:rPr>
        <w:t>5</w:t>
      </w:r>
      <w:r w:rsidR="008629C4" w:rsidRPr="000D0C5A">
        <w:rPr>
          <w:rFonts w:ascii="Arial Black" w:hAnsi="Arial Black"/>
          <w:color w:val="015696"/>
          <w:sz w:val="48"/>
          <w:szCs w:val="48"/>
        </w:rPr>
        <w:t xml:space="preserve">. Financial Proposal </w:t>
      </w:r>
      <w:r w:rsidR="008629C4">
        <w:rPr>
          <w:rFonts w:ascii="Arial Black" w:hAnsi="Arial Black"/>
          <w:color w:val="015696"/>
          <w:sz w:val="48"/>
          <w:szCs w:val="48"/>
        </w:rPr>
        <w:t>Content</w:t>
      </w:r>
    </w:p>
    <w:p w14:paraId="31E42842" w14:textId="152FF984" w:rsidR="00D37CE8" w:rsidRDefault="00D37CE8" w:rsidP="00D37CE8">
      <w:pPr>
        <w:rPr>
          <w:rStyle w:val="Emphasis"/>
          <w:i w:val="0"/>
        </w:rPr>
      </w:pPr>
      <w:r>
        <w:rPr>
          <w:rStyle w:val="Emphasis"/>
          <w:i w:val="0"/>
        </w:rPr>
        <w:t xml:space="preserve">The financial proposal should estimate labor and expenses for the project. </w:t>
      </w:r>
      <w:r w:rsidRPr="00AA2782">
        <w:rPr>
          <w:rStyle w:val="Emphasis"/>
          <w:i w:val="0"/>
        </w:rPr>
        <w:t xml:space="preserve">Vendors should provide the hourly rates by labor category </w:t>
      </w:r>
      <w:r w:rsidR="00DB4652">
        <w:rPr>
          <w:rStyle w:val="Emphasis"/>
          <w:i w:val="0"/>
        </w:rPr>
        <w:t xml:space="preserve">and anticipated hours </w:t>
      </w:r>
      <w:r>
        <w:rPr>
          <w:rStyle w:val="Emphasis"/>
          <w:i w:val="0"/>
        </w:rPr>
        <w:t xml:space="preserve">for the initial two-year contract and the three option years </w:t>
      </w:r>
      <w:r w:rsidRPr="00AA2782">
        <w:rPr>
          <w:rStyle w:val="Emphasis"/>
          <w:i w:val="0"/>
        </w:rPr>
        <w:t xml:space="preserve">(Figure </w:t>
      </w:r>
      <w:r w:rsidR="00AE751A">
        <w:rPr>
          <w:rStyle w:val="Emphasis"/>
          <w:i w:val="0"/>
        </w:rPr>
        <w:t>3</w:t>
      </w:r>
      <w:r w:rsidRPr="00AA2782">
        <w:rPr>
          <w:rStyle w:val="Emphasis"/>
          <w:i w:val="0"/>
        </w:rPr>
        <w:t>)</w:t>
      </w:r>
      <w:r>
        <w:rPr>
          <w:rStyle w:val="Emphasis"/>
          <w:i w:val="0"/>
        </w:rPr>
        <w:t xml:space="preserve">. </w:t>
      </w:r>
      <w:r w:rsidRPr="00AA2782">
        <w:rPr>
          <w:rStyle w:val="Emphasis"/>
          <w:i w:val="0"/>
        </w:rPr>
        <w:t xml:space="preserve"> </w:t>
      </w:r>
      <w:r>
        <w:rPr>
          <w:rStyle w:val="Emphasis"/>
          <w:i w:val="0"/>
        </w:rPr>
        <w:t xml:space="preserve">Vendors will be required to use </w:t>
      </w:r>
      <w:r w:rsidR="00E84E50">
        <w:rPr>
          <w:rStyle w:val="Emphasis"/>
          <w:i w:val="0"/>
        </w:rPr>
        <w:t xml:space="preserve">the </w:t>
      </w:r>
      <w:r w:rsidR="002F05F2">
        <w:rPr>
          <w:rStyle w:val="Emphasis"/>
          <w:i w:val="0"/>
        </w:rPr>
        <w:t xml:space="preserve">rates bid </w:t>
      </w:r>
      <w:r>
        <w:rPr>
          <w:rStyle w:val="Emphasis"/>
          <w:i w:val="0"/>
        </w:rPr>
        <w:t>as a ceiling.</w:t>
      </w:r>
    </w:p>
    <w:p w14:paraId="18E93004" w14:textId="77777777" w:rsidR="002C28E3" w:rsidRPr="00AA2782" w:rsidRDefault="002C28E3" w:rsidP="00D37CE8">
      <w:pPr>
        <w:rPr>
          <w:iCs/>
        </w:rPr>
      </w:pPr>
    </w:p>
    <w:p w14:paraId="44E3BA3B" w14:textId="77777777" w:rsidR="008629C4" w:rsidRDefault="008629C4" w:rsidP="00DD4C7E">
      <w:pPr>
        <w:jc w:val="center"/>
        <w:rPr>
          <w:b/>
        </w:rPr>
      </w:pPr>
      <w:r w:rsidRPr="00AA2782">
        <w:rPr>
          <w:b/>
        </w:rPr>
        <w:t xml:space="preserve">Figure </w:t>
      </w:r>
      <w:r w:rsidR="00AE751A">
        <w:rPr>
          <w:b/>
        </w:rPr>
        <w:t>3</w:t>
      </w:r>
      <w:r w:rsidRPr="00AA2782">
        <w:rPr>
          <w:b/>
        </w:rPr>
        <w:t>. Consulting Rates and Anticipated Hours by Labor Category</w:t>
      </w:r>
      <w:r w:rsidR="001E02A3">
        <w:rPr>
          <w:b/>
        </w:rPr>
        <w:t xml:space="preserve"> </w:t>
      </w:r>
    </w:p>
    <w:p w14:paraId="6F6C4CC9" w14:textId="77777777" w:rsidR="001754EC" w:rsidRPr="001754EC" w:rsidRDefault="001754EC" w:rsidP="001754EC">
      <w:r w:rsidRPr="001754EC">
        <w:t>Base Years One and Two:</w:t>
      </w:r>
    </w:p>
    <w:tbl>
      <w:tblPr>
        <w:tblW w:w="0" w:type="auto"/>
        <w:tblBorders>
          <w:top w:val="single" w:sz="8" w:space="0" w:color="4F81BD"/>
          <w:bottom w:val="single" w:sz="8" w:space="0" w:color="4F81BD"/>
        </w:tblBorders>
        <w:tblLook w:val="04A0" w:firstRow="1" w:lastRow="0" w:firstColumn="1" w:lastColumn="0" w:noHBand="0" w:noVBand="1"/>
      </w:tblPr>
      <w:tblGrid>
        <w:gridCol w:w="2429"/>
        <w:gridCol w:w="4235"/>
        <w:gridCol w:w="1619"/>
        <w:gridCol w:w="1743"/>
      </w:tblGrid>
      <w:tr w:rsidR="00401649" w14:paraId="73992634" w14:textId="77777777" w:rsidTr="00401649">
        <w:tc>
          <w:tcPr>
            <w:tcW w:w="2429" w:type="dxa"/>
            <w:tcBorders>
              <w:top w:val="single" w:sz="8" w:space="0" w:color="4F81BD"/>
              <w:left w:val="nil"/>
              <w:bottom w:val="single" w:sz="8" w:space="0" w:color="4F81BD"/>
              <w:right w:val="nil"/>
            </w:tcBorders>
          </w:tcPr>
          <w:p w14:paraId="28CAB5AE" w14:textId="77777777" w:rsidR="00401649" w:rsidRPr="002E55C3" w:rsidRDefault="00401649" w:rsidP="00D70C89">
            <w:pPr>
              <w:rPr>
                <w:b/>
                <w:bCs/>
                <w:color w:val="365F91"/>
              </w:rPr>
            </w:pPr>
            <w:r w:rsidRPr="002E55C3">
              <w:rPr>
                <w:b/>
                <w:bCs/>
                <w:color w:val="365F91"/>
              </w:rPr>
              <w:t>Labor Category</w:t>
            </w:r>
          </w:p>
        </w:tc>
        <w:tc>
          <w:tcPr>
            <w:tcW w:w="4235" w:type="dxa"/>
            <w:tcBorders>
              <w:top w:val="single" w:sz="8" w:space="0" w:color="4F81BD"/>
              <w:left w:val="nil"/>
              <w:bottom w:val="single" w:sz="8" w:space="0" w:color="4F81BD"/>
              <w:right w:val="nil"/>
            </w:tcBorders>
          </w:tcPr>
          <w:p w14:paraId="03A89507" w14:textId="77777777" w:rsidR="00401649" w:rsidRPr="002E55C3" w:rsidRDefault="00401649" w:rsidP="00D70C89">
            <w:pPr>
              <w:rPr>
                <w:b/>
                <w:bCs/>
                <w:color w:val="365F91"/>
              </w:rPr>
            </w:pPr>
            <w:r w:rsidRPr="002E55C3">
              <w:rPr>
                <w:b/>
                <w:bCs/>
                <w:color w:val="365F91"/>
              </w:rPr>
              <w:t xml:space="preserve">Name(s), If Individual Named in the Response </w:t>
            </w:r>
          </w:p>
        </w:tc>
        <w:tc>
          <w:tcPr>
            <w:tcW w:w="1619" w:type="dxa"/>
            <w:tcBorders>
              <w:top w:val="single" w:sz="8" w:space="0" w:color="4F81BD"/>
              <w:left w:val="nil"/>
              <w:bottom w:val="single" w:sz="8" w:space="0" w:color="4F81BD"/>
              <w:right w:val="nil"/>
            </w:tcBorders>
          </w:tcPr>
          <w:p w14:paraId="7569E596" w14:textId="77777777" w:rsidR="00401649" w:rsidRPr="002E55C3" w:rsidRDefault="00401649" w:rsidP="00D70C89">
            <w:pPr>
              <w:rPr>
                <w:b/>
                <w:bCs/>
                <w:color w:val="365F91"/>
              </w:rPr>
            </w:pPr>
            <w:r w:rsidRPr="002E55C3">
              <w:rPr>
                <w:b/>
                <w:bCs/>
                <w:color w:val="365F91"/>
              </w:rPr>
              <w:t>Hourly Rate</w:t>
            </w:r>
          </w:p>
        </w:tc>
        <w:tc>
          <w:tcPr>
            <w:tcW w:w="1743" w:type="dxa"/>
            <w:tcBorders>
              <w:top w:val="single" w:sz="8" w:space="0" w:color="4F81BD"/>
              <w:left w:val="nil"/>
              <w:bottom w:val="single" w:sz="8" w:space="0" w:color="4F81BD"/>
              <w:right w:val="nil"/>
            </w:tcBorders>
          </w:tcPr>
          <w:p w14:paraId="7A99A699" w14:textId="77777777" w:rsidR="00401649" w:rsidRPr="002E55C3" w:rsidRDefault="00401649" w:rsidP="00D70C89">
            <w:pPr>
              <w:rPr>
                <w:b/>
                <w:bCs/>
                <w:color w:val="365F91"/>
              </w:rPr>
            </w:pPr>
            <w:r>
              <w:rPr>
                <w:b/>
                <w:bCs/>
                <w:color w:val="365F91"/>
              </w:rPr>
              <w:t>Anticipated Hours</w:t>
            </w:r>
          </w:p>
        </w:tc>
      </w:tr>
      <w:tr w:rsidR="00401649" w14:paraId="2C9FCC9B" w14:textId="77777777" w:rsidTr="00401649">
        <w:tc>
          <w:tcPr>
            <w:tcW w:w="2429" w:type="dxa"/>
            <w:tcBorders>
              <w:left w:val="nil"/>
              <w:right w:val="nil"/>
            </w:tcBorders>
            <w:shd w:val="clear" w:color="auto" w:fill="D3DFEE"/>
          </w:tcPr>
          <w:p w14:paraId="555B8503" w14:textId="77777777" w:rsidR="00401649" w:rsidRPr="002E55C3" w:rsidRDefault="00401649" w:rsidP="00D70C89">
            <w:pPr>
              <w:rPr>
                <w:b/>
                <w:bCs/>
                <w:color w:val="365F91"/>
              </w:rPr>
            </w:pPr>
          </w:p>
        </w:tc>
        <w:tc>
          <w:tcPr>
            <w:tcW w:w="4235" w:type="dxa"/>
            <w:tcBorders>
              <w:left w:val="nil"/>
              <w:right w:val="nil"/>
            </w:tcBorders>
            <w:shd w:val="clear" w:color="auto" w:fill="D3DFEE"/>
          </w:tcPr>
          <w:p w14:paraId="330AA220" w14:textId="77777777" w:rsidR="00401649" w:rsidRPr="002E55C3" w:rsidRDefault="00401649" w:rsidP="00D70C89">
            <w:pPr>
              <w:rPr>
                <w:color w:val="365F91"/>
              </w:rPr>
            </w:pPr>
          </w:p>
        </w:tc>
        <w:tc>
          <w:tcPr>
            <w:tcW w:w="1619" w:type="dxa"/>
            <w:tcBorders>
              <w:left w:val="nil"/>
              <w:right w:val="nil"/>
            </w:tcBorders>
            <w:shd w:val="clear" w:color="auto" w:fill="D3DFEE"/>
          </w:tcPr>
          <w:p w14:paraId="39FA7DE4" w14:textId="77777777" w:rsidR="00401649" w:rsidRPr="002E55C3" w:rsidRDefault="00401649" w:rsidP="00D70C89">
            <w:pPr>
              <w:rPr>
                <w:color w:val="365F91"/>
              </w:rPr>
            </w:pPr>
          </w:p>
        </w:tc>
        <w:tc>
          <w:tcPr>
            <w:tcW w:w="1743" w:type="dxa"/>
            <w:tcBorders>
              <w:left w:val="nil"/>
              <w:right w:val="nil"/>
            </w:tcBorders>
            <w:shd w:val="clear" w:color="auto" w:fill="D3DFEE"/>
          </w:tcPr>
          <w:p w14:paraId="59BC6C9E" w14:textId="77777777" w:rsidR="00401649" w:rsidRPr="002E55C3" w:rsidRDefault="00401649" w:rsidP="00D70C89">
            <w:pPr>
              <w:rPr>
                <w:color w:val="365F91"/>
              </w:rPr>
            </w:pPr>
          </w:p>
        </w:tc>
      </w:tr>
      <w:tr w:rsidR="00401649" w14:paraId="0B092BC9" w14:textId="77777777" w:rsidTr="00401649">
        <w:tc>
          <w:tcPr>
            <w:tcW w:w="2429" w:type="dxa"/>
          </w:tcPr>
          <w:p w14:paraId="09791CAB" w14:textId="77777777" w:rsidR="00401649" w:rsidRPr="002E55C3" w:rsidRDefault="00401649" w:rsidP="00D70C89">
            <w:pPr>
              <w:rPr>
                <w:b/>
                <w:bCs/>
                <w:color w:val="365F91"/>
              </w:rPr>
            </w:pPr>
          </w:p>
        </w:tc>
        <w:tc>
          <w:tcPr>
            <w:tcW w:w="4235" w:type="dxa"/>
          </w:tcPr>
          <w:p w14:paraId="064D951B" w14:textId="77777777" w:rsidR="00401649" w:rsidRPr="002E55C3" w:rsidRDefault="00401649" w:rsidP="00D70C89">
            <w:pPr>
              <w:rPr>
                <w:color w:val="365F91"/>
              </w:rPr>
            </w:pPr>
          </w:p>
        </w:tc>
        <w:tc>
          <w:tcPr>
            <w:tcW w:w="1619" w:type="dxa"/>
          </w:tcPr>
          <w:p w14:paraId="695DDD23" w14:textId="77777777" w:rsidR="00401649" w:rsidRPr="002E55C3" w:rsidRDefault="00401649" w:rsidP="00D70C89">
            <w:pPr>
              <w:rPr>
                <w:color w:val="365F91"/>
              </w:rPr>
            </w:pPr>
          </w:p>
        </w:tc>
        <w:tc>
          <w:tcPr>
            <w:tcW w:w="1743" w:type="dxa"/>
          </w:tcPr>
          <w:p w14:paraId="50F9679F" w14:textId="77777777" w:rsidR="00401649" w:rsidRPr="002E55C3" w:rsidRDefault="00401649" w:rsidP="00D70C89">
            <w:pPr>
              <w:rPr>
                <w:color w:val="365F91"/>
              </w:rPr>
            </w:pPr>
          </w:p>
        </w:tc>
      </w:tr>
      <w:tr w:rsidR="00401649" w14:paraId="6A0E2583" w14:textId="77777777" w:rsidTr="00401649">
        <w:tc>
          <w:tcPr>
            <w:tcW w:w="2429" w:type="dxa"/>
            <w:tcBorders>
              <w:left w:val="nil"/>
              <w:right w:val="nil"/>
            </w:tcBorders>
            <w:shd w:val="clear" w:color="auto" w:fill="D3DFEE"/>
          </w:tcPr>
          <w:p w14:paraId="79E17C82" w14:textId="77777777" w:rsidR="00401649" w:rsidRPr="002E55C3" w:rsidRDefault="00401649" w:rsidP="00D70C89">
            <w:pPr>
              <w:rPr>
                <w:b/>
                <w:bCs/>
                <w:color w:val="365F91"/>
              </w:rPr>
            </w:pPr>
          </w:p>
        </w:tc>
        <w:tc>
          <w:tcPr>
            <w:tcW w:w="4235" w:type="dxa"/>
            <w:tcBorders>
              <w:left w:val="nil"/>
              <w:right w:val="nil"/>
            </w:tcBorders>
            <w:shd w:val="clear" w:color="auto" w:fill="D3DFEE"/>
          </w:tcPr>
          <w:p w14:paraId="5A7273CC" w14:textId="77777777" w:rsidR="00401649" w:rsidRPr="002E55C3" w:rsidRDefault="00401649" w:rsidP="00D70C89">
            <w:pPr>
              <w:rPr>
                <w:color w:val="365F91"/>
              </w:rPr>
            </w:pPr>
          </w:p>
        </w:tc>
        <w:tc>
          <w:tcPr>
            <w:tcW w:w="1619" w:type="dxa"/>
            <w:tcBorders>
              <w:left w:val="nil"/>
              <w:right w:val="nil"/>
            </w:tcBorders>
            <w:shd w:val="clear" w:color="auto" w:fill="D3DFEE"/>
          </w:tcPr>
          <w:p w14:paraId="73D13A97" w14:textId="77777777" w:rsidR="00401649" w:rsidRPr="002E55C3" w:rsidRDefault="00401649" w:rsidP="00D70C89">
            <w:pPr>
              <w:rPr>
                <w:color w:val="365F91"/>
              </w:rPr>
            </w:pPr>
          </w:p>
        </w:tc>
        <w:tc>
          <w:tcPr>
            <w:tcW w:w="1743" w:type="dxa"/>
            <w:tcBorders>
              <w:left w:val="nil"/>
              <w:right w:val="nil"/>
            </w:tcBorders>
            <w:shd w:val="clear" w:color="auto" w:fill="D3DFEE"/>
          </w:tcPr>
          <w:p w14:paraId="3CC198C2" w14:textId="77777777" w:rsidR="00401649" w:rsidRPr="002E55C3" w:rsidRDefault="00401649" w:rsidP="00D70C89">
            <w:pPr>
              <w:rPr>
                <w:color w:val="365F91"/>
              </w:rPr>
            </w:pPr>
          </w:p>
        </w:tc>
      </w:tr>
      <w:tr w:rsidR="00401649" w14:paraId="35913E7F" w14:textId="77777777" w:rsidTr="00401649">
        <w:tc>
          <w:tcPr>
            <w:tcW w:w="2429" w:type="dxa"/>
          </w:tcPr>
          <w:p w14:paraId="3BC20707" w14:textId="77777777" w:rsidR="00401649" w:rsidRPr="002E55C3" w:rsidRDefault="00401649" w:rsidP="00D70C89">
            <w:pPr>
              <w:rPr>
                <w:b/>
                <w:bCs/>
                <w:color w:val="365F91"/>
              </w:rPr>
            </w:pPr>
            <w:r>
              <w:rPr>
                <w:b/>
                <w:bCs/>
                <w:color w:val="365F91"/>
              </w:rPr>
              <w:t xml:space="preserve"> </w:t>
            </w:r>
          </w:p>
        </w:tc>
        <w:tc>
          <w:tcPr>
            <w:tcW w:w="4235" w:type="dxa"/>
          </w:tcPr>
          <w:p w14:paraId="1D947BB9" w14:textId="77777777" w:rsidR="00401649" w:rsidRPr="002E55C3" w:rsidRDefault="00401649" w:rsidP="00D70C89">
            <w:pPr>
              <w:rPr>
                <w:color w:val="365F91"/>
              </w:rPr>
            </w:pPr>
          </w:p>
        </w:tc>
        <w:tc>
          <w:tcPr>
            <w:tcW w:w="1619" w:type="dxa"/>
          </w:tcPr>
          <w:p w14:paraId="645B3C6D" w14:textId="77777777" w:rsidR="00401649" w:rsidRPr="002E55C3" w:rsidRDefault="00401649" w:rsidP="00D70C89">
            <w:pPr>
              <w:rPr>
                <w:color w:val="365F91"/>
              </w:rPr>
            </w:pPr>
          </w:p>
        </w:tc>
        <w:tc>
          <w:tcPr>
            <w:tcW w:w="1743" w:type="dxa"/>
          </w:tcPr>
          <w:p w14:paraId="1B2A01BC" w14:textId="77777777" w:rsidR="00401649" w:rsidRPr="002E55C3" w:rsidRDefault="00401649" w:rsidP="00D70C89">
            <w:pPr>
              <w:rPr>
                <w:color w:val="365F91"/>
              </w:rPr>
            </w:pPr>
          </w:p>
        </w:tc>
      </w:tr>
    </w:tbl>
    <w:p w14:paraId="201766A1" w14:textId="77777777" w:rsidR="00695BF3" w:rsidRDefault="00695BF3"/>
    <w:p w14:paraId="3CC8F5D2" w14:textId="77777777" w:rsidR="001754EC" w:rsidRPr="001754EC" w:rsidRDefault="001754EC" w:rsidP="001754EC">
      <w:r>
        <w:t>Option Year One</w:t>
      </w:r>
      <w:r w:rsidRPr="001754EC">
        <w:t>:</w:t>
      </w:r>
    </w:p>
    <w:tbl>
      <w:tblPr>
        <w:tblW w:w="0" w:type="auto"/>
        <w:tblBorders>
          <w:top w:val="single" w:sz="8" w:space="0" w:color="4F81BD"/>
          <w:bottom w:val="single" w:sz="8" w:space="0" w:color="4F81BD"/>
        </w:tblBorders>
        <w:tblLook w:val="04A0" w:firstRow="1" w:lastRow="0" w:firstColumn="1" w:lastColumn="0" w:noHBand="0" w:noVBand="1"/>
      </w:tblPr>
      <w:tblGrid>
        <w:gridCol w:w="2429"/>
        <w:gridCol w:w="4235"/>
        <w:gridCol w:w="1619"/>
        <w:gridCol w:w="1743"/>
      </w:tblGrid>
      <w:tr w:rsidR="00401649" w14:paraId="6806ACBF" w14:textId="77777777" w:rsidTr="005B674F">
        <w:tc>
          <w:tcPr>
            <w:tcW w:w="2429" w:type="dxa"/>
            <w:tcBorders>
              <w:top w:val="single" w:sz="8" w:space="0" w:color="4F81BD"/>
              <w:left w:val="nil"/>
              <w:bottom w:val="single" w:sz="8" w:space="0" w:color="4F81BD"/>
              <w:right w:val="nil"/>
            </w:tcBorders>
          </w:tcPr>
          <w:p w14:paraId="048B5023" w14:textId="77777777" w:rsidR="00401649" w:rsidRPr="002E55C3" w:rsidRDefault="00401649" w:rsidP="005B674F">
            <w:pPr>
              <w:rPr>
                <w:b/>
                <w:bCs/>
                <w:color w:val="365F91"/>
              </w:rPr>
            </w:pPr>
            <w:r w:rsidRPr="002E55C3">
              <w:rPr>
                <w:b/>
                <w:bCs/>
                <w:color w:val="365F91"/>
              </w:rPr>
              <w:t>Labor Category</w:t>
            </w:r>
          </w:p>
        </w:tc>
        <w:tc>
          <w:tcPr>
            <w:tcW w:w="4235" w:type="dxa"/>
            <w:tcBorders>
              <w:top w:val="single" w:sz="8" w:space="0" w:color="4F81BD"/>
              <w:left w:val="nil"/>
              <w:bottom w:val="single" w:sz="8" w:space="0" w:color="4F81BD"/>
              <w:right w:val="nil"/>
            </w:tcBorders>
          </w:tcPr>
          <w:p w14:paraId="6F8DEFD5" w14:textId="77777777" w:rsidR="00401649" w:rsidRPr="002E55C3" w:rsidRDefault="00401649" w:rsidP="005B674F">
            <w:pPr>
              <w:rPr>
                <w:b/>
                <w:bCs/>
                <w:color w:val="365F91"/>
              </w:rPr>
            </w:pPr>
            <w:r w:rsidRPr="002E55C3">
              <w:rPr>
                <w:b/>
                <w:bCs/>
                <w:color w:val="365F91"/>
              </w:rPr>
              <w:t xml:space="preserve">Name(s), If Individual Named in the Response </w:t>
            </w:r>
          </w:p>
        </w:tc>
        <w:tc>
          <w:tcPr>
            <w:tcW w:w="1619" w:type="dxa"/>
            <w:tcBorders>
              <w:top w:val="single" w:sz="8" w:space="0" w:color="4F81BD"/>
              <w:left w:val="nil"/>
              <w:bottom w:val="single" w:sz="8" w:space="0" w:color="4F81BD"/>
              <w:right w:val="nil"/>
            </w:tcBorders>
          </w:tcPr>
          <w:p w14:paraId="3336A329" w14:textId="77777777" w:rsidR="00401649" w:rsidRPr="002E55C3" w:rsidRDefault="00401649" w:rsidP="005B674F">
            <w:pPr>
              <w:rPr>
                <w:b/>
                <w:bCs/>
                <w:color w:val="365F91"/>
              </w:rPr>
            </w:pPr>
            <w:r w:rsidRPr="002E55C3">
              <w:rPr>
                <w:b/>
                <w:bCs/>
                <w:color w:val="365F91"/>
              </w:rPr>
              <w:t>Hourly Rate</w:t>
            </w:r>
          </w:p>
        </w:tc>
        <w:tc>
          <w:tcPr>
            <w:tcW w:w="1743" w:type="dxa"/>
            <w:tcBorders>
              <w:top w:val="single" w:sz="8" w:space="0" w:color="4F81BD"/>
              <w:left w:val="nil"/>
              <w:bottom w:val="single" w:sz="8" w:space="0" w:color="4F81BD"/>
              <w:right w:val="nil"/>
            </w:tcBorders>
          </w:tcPr>
          <w:p w14:paraId="521E1B35" w14:textId="77777777" w:rsidR="00401649" w:rsidRPr="002E55C3" w:rsidRDefault="00401649" w:rsidP="005B674F">
            <w:pPr>
              <w:rPr>
                <w:b/>
                <w:bCs/>
                <w:color w:val="365F91"/>
              </w:rPr>
            </w:pPr>
            <w:r>
              <w:rPr>
                <w:b/>
                <w:bCs/>
                <w:color w:val="365F91"/>
              </w:rPr>
              <w:t>Anticipated Hours</w:t>
            </w:r>
          </w:p>
        </w:tc>
      </w:tr>
      <w:tr w:rsidR="00401649" w14:paraId="446950ED" w14:textId="77777777" w:rsidTr="005B674F">
        <w:tc>
          <w:tcPr>
            <w:tcW w:w="2429" w:type="dxa"/>
            <w:tcBorders>
              <w:left w:val="nil"/>
              <w:right w:val="nil"/>
            </w:tcBorders>
            <w:shd w:val="clear" w:color="auto" w:fill="D3DFEE"/>
          </w:tcPr>
          <w:p w14:paraId="631E1C30" w14:textId="77777777" w:rsidR="00401649" w:rsidRPr="002E55C3" w:rsidRDefault="00401649" w:rsidP="005B674F">
            <w:pPr>
              <w:rPr>
                <w:b/>
                <w:bCs/>
                <w:color w:val="365F91"/>
              </w:rPr>
            </w:pPr>
          </w:p>
        </w:tc>
        <w:tc>
          <w:tcPr>
            <w:tcW w:w="4235" w:type="dxa"/>
            <w:tcBorders>
              <w:left w:val="nil"/>
              <w:right w:val="nil"/>
            </w:tcBorders>
            <w:shd w:val="clear" w:color="auto" w:fill="D3DFEE"/>
          </w:tcPr>
          <w:p w14:paraId="152C407F" w14:textId="77777777" w:rsidR="00401649" w:rsidRPr="002E55C3" w:rsidRDefault="00401649" w:rsidP="005B674F">
            <w:pPr>
              <w:rPr>
                <w:color w:val="365F91"/>
              </w:rPr>
            </w:pPr>
          </w:p>
        </w:tc>
        <w:tc>
          <w:tcPr>
            <w:tcW w:w="1619" w:type="dxa"/>
            <w:tcBorders>
              <w:left w:val="nil"/>
              <w:right w:val="nil"/>
            </w:tcBorders>
            <w:shd w:val="clear" w:color="auto" w:fill="D3DFEE"/>
          </w:tcPr>
          <w:p w14:paraId="5DB3008E" w14:textId="77777777" w:rsidR="00401649" w:rsidRPr="002E55C3" w:rsidRDefault="00401649" w:rsidP="005B674F">
            <w:pPr>
              <w:rPr>
                <w:color w:val="365F91"/>
              </w:rPr>
            </w:pPr>
          </w:p>
        </w:tc>
        <w:tc>
          <w:tcPr>
            <w:tcW w:w="1743" w:type="dxa"/>
            <w:tcBorders>
              <w:left w:val="nil"/>
              <w:right w:val="nil"/>
            </w:tcBorders>
            <w:shd w:val="clear" w:color="auto" w:fill="D3DFEE"/>
          </w:tcPr>
          <w:p w14:paraId="37293F2C" w14:textId="77777777" w:rsidR="00401649" w:rsidRPr="002E55C3" w:rsidRDefault="00401649" w:rsidP="005B674F">
            <w:pPr>
              <w:rPr>
                <w:color w:val="365F91"/>
              </w:rPr>
            </w:pPr>
          </w:p>
        </w:tc>
      </w:tr>
      <w:tr w:rsidR="00401649" w14:paraId="12CED936" w14:textId="77777777" w:rsidTr="005B674F">
        <w:tc>
          <w:tcPr>
            <w:tcW w:w="2429" w:type="dxa"/>
          </w:tcPr>
          <w:p w14:paraId="17527B0D" w14:textId="77777777" w:rsidR="00401649" w:rsidRPr="002E55C3" w:rsidRDefault="00401649" w:rsidP="005B674F">
            <w:pPr>
              <w:rPr>
                <w:b/>
                <w:bCs/>
                <w:color w:val="365F91"/>
              </w:rPr>
            </w:pPr>
          </w:p>
        </w:tc>
        <w:tc>
          <w:tcPr>
            <w:tcW w:w="4235" w:type="dxa"/>
          </w:tcPr>
          <w:p w14:paraId="52476B3A" w14:textId="77777777" w:rsidR="00401649" w:rsidRPr="002E55C3" w:rsidRDefault="00401649" w:rsidP="005B674F">
            <w:pPr>
              <w:rPr>
                <w:color w:val="365F91"/>
              </w:rPr>
            </w:pPr>
          </w:p>
        </w:tc>
        <w:tc>
          <w:tcPr>
            <w:tcW w:w="1619" w:type="dxa"/>
          </w:tcPr>
          <w:p w14:paraId="18E9712E" w14:textId="77777777" w:rsidR="00401649" w:rsidRPr="002E55C3" w:rsidRDefault="00401649" w:rsidP="005B674F">
            <w:pPr>
              <w:rPr>
                <w:color w:val="365F91"/>
              </w:rPr>
            </w:pPr>
          </w:p>
        </w:tc>
        <w:tc>
          <w:tcPr>
            <w:tcW w:w="1743" w:type="dxa"/>
          </w:tcPr>
          <w:p w14:paraId="4EA7B4C5" w14:textId="77777777" w:rsidR="00401649" w:rsidRPr="002E55C3" w:rsidRDefault="00401649" w:rsidP="005B674F">
            <w:pPr>
              <w:rPr>
                <w:color w:val="365F91"/>
              </w:rPr>
            </w:pPr>
          </w:p>
        </w:tc>
      </w:tr>
      <w:tr w:rsidR="00401649" w14:paraId="23382A02" w14:textId="77777777" w:rsidTr="005B674F">
        <w:tc>
          <w:tcPr>
            <w:tcW w:w="2429" w:type="dxa"/>
            <w:tcBorders>
              <w:left w:val="nil"/>
              <w:right w:val="nil"/>
            </w:tcBorders>
            <w:shd w:val="clear" w:color="auto" w:fill="D3DFEE"/>
          </w:tcPr>
          <w:p w14:paraId="246FB8D2" w14:textId="77777777" w:rsidR="00401649" w:rsidRPr="002E55C3" w:rsidRDefault="00401649" w:rsidP="005B674F">
            <w:pPr>
              <w:rPr>
                <w:b/>
                <w:bCs/>
                <w:color w:val="365F91"/>
              </w:rPr>
            </w:pPr>
          </w:p>
        </w:tc>
        <w:tc>
          <w:tcPr>
            <w:tcW w:w="4235" w:type="dxa"/>
            <w:tcBorders>
              <w:left w:val="nil"/>
              <w:right w:val="nil"/>
            </w:tcBorders>
            <w:shd w:val="clear" w:color="auto" w:fill="D3DFEE"/>
          </w:tcPr>
          <w:p w14:paraId="6D121FB6" w14:textId="77777777" w:rsidR="00401649" w:rsidRPr="002E55C3" w:rsidRDefault="00401649" w:rsidP="005B674F">
            <w:pPr>
              <w:rPr>
                <w:color w:val="365F91"/>
              </w:rPr>
            </w:pPr>
          </w:p>
        </w:tc>
        <w:tc>
          <w:tcPr>
            <w:tcW w:w="1619" w:type="dxa"/>
            <w:tcBorders>
              <w:left w:val="nil"/>
              <w:right w:val="nil"/>
            </w:tcBorders>
            <w:shd w:val="clear" w:color="auto" w:fill="D3DFEE"/>
          </w:tcPr>
          <w:p w14:paraId="6B5777A2" w14:textId="77777777" w:rsidR="00401649" w:rsidRPr="002E55C3" w:rsidRDefault="00401649" w:rsidP="005B674F">
            <w:pPr>
              <w:rPr>
                <w:color w:val="365F91"/>
              </w:rPr>
            </w:pPr>
          </w:p>
        </w:tc>
        <w:tc>
          <w:tcPr>
            <w:tcW w:w="1743" w:type="dxa"/>
            <w:tcBorders>
              <w:left w:val="nil"/>
              <w:right w:val="nil"/>
            </w:tcBorders>
            <w:shd w:val="clear" w:color="auto" w:fill="D3DFEE"/>
          </w:tcPr>
          <w:p w14:paraId="15957F0F" w14:textId="77777777" w:rsidR="00401649" w:rsidRPr="002E55C3" w:rsidRDefault="00401649" w:rsidP="005B674F">
            <w:pPr>
              <w:rPr>
                <w:color w:val="365F91"/>
              </w:rPr>
            </w:pPr>
          </w:p>
        </w:tc>
      </w:tr>
      <w:tr w:rsidR="00401649" w14:paraId="0786586B" w14:textId="77777777" w:rsidTr="005B674F">
        <w:tc>
          <w:tcPr>
            <w:tcW w:w="2429" w:type="dxa"/>
          </w:tcPr>
          <w:p w14:paraId="3CB0541C" w14:textId="77777777" w:rsidR="00401649" w:rsidRPr="002E55C3" w:rsidRDefault="00401649" w:rsidP="005B674F">
            <w:pPr>
              <w:rPr>
                <w:b/>
                <w:bCs/>
                <w:color w:val="365F91"/>
              </w:rPr>
            </w:pPr>
            <w:r>
              <w:rPr>
                <w:b/>
                <w:bCs/>
                <w:color w:val="365F91"/>
              </w:rPr>
              <w:t xml:space="preserve"> </w:t>
            </w:r>
          </w:p>
        </w:tc>
        <w:tc>
          <w:tcPr>
            <w:tcW w:w="4235" w:type="dxa"/>
          </w:tcPr>
          <w:p w14:paraId="539797A7" w14:textId="77777777" w:rsidR="00401649" w:rsidRPr="002E55C3" w:rsidRDefault="00401649" w:rsidP="005B674F">
            <w:pPr>
              <w:rPr>
                <w:color w:val="365F91"/>
              </w:rPr>
            </w:pPr>
          </w:p>
        </w:tc>
        <w:tc>
          <w:tcPr>
            <w:tcW w:w="1619" w:type="dxa"/>
          </w:tcPr>
          <w:p w14:paraId="79A1C791" w14:textId="77777777" w:rsidR="00401649" w:rsidRPr="002E55C3" w:rsidRDefault="00401649" w:rsidP="005B674F">
            <w:pPr>
              <w:rPr>
                <w:color w:val="365F91"/>
              </w:rPr>
            </w:pPr>
          </w:p>
        </w:tc>
        <w:tc>
          <w:tcPr>
            <w:tcW w:w="1743" w:type="dxa"/>
          </w:tcPr>
          <w:p w14:paraId="4E720714" w14:textId="77777777" w:rsidR="00401649" w:rsidRPr="002E55C3" w:rsidRDefault="00401649" w:rsidP="005B674F">
            <w:pPr>
              <w:rPr>
                <w:color w:val="365F91"/>
              </w:rPr>
            </w:pPr>
          </w:p>
        </w:tc>
      </w:tr>
    </w:tbl>
    <w:p w14:paraId="47FAC5A8" w14:textId="77777777" w:rsidR="00B779F9" w:rsidRDefault="00B779F9"/>
    <w:p w14:paraId="7A7D8E20" w14:textId="77777777" w:rsidR="001754EC" w:rsidRPr="001754EC" w:rsidRDefault="001754EC" w:rsidP="001754EC">
      <w:r>
        <w:t>Option Year Two</w:t>
      </w:r>
      <w:r w:rsidRPr="001754EC">
        <w:t>:</w:t>
      </w:r>
    </w:p>
    <w:tbl>
      <w:tblPr>
        <w:tblW w:w="0" w:type="auto"/>
        <w:tblBorders>
          <w:top w:val="single" w:sz="8" w:space="0" w:color="4F81BD"/>
          <w:bottom w:val="single" w:sz="8" w:space="0" w:color="4F81BD"/>
        </w:tblBorders>
        <w:tblLook w:val="04A0" w:firstRow="1" w:lastRow="0" w:firstColumn="1" w:lastColumn="0" w:noHBand="0" w:noVBand="1"/>
      </w:tblPr>
      <w:tblGrid>
        <w:gridCol w:w="2429"/>
        <w:gridCol w:w="4235"/>
        <w:gridCol w:w="1619"/>
        <w:gridCol w:w="1743"/>
      </w:tblGrid>
      <w:tr w:rsidR="00401649" w14:paraId="13CD589F" w14:textId="77777777" w:rsidTr="005B674F">
        <w:tc>
          <w:tcPr>
            <w:tcW w:w="2429" w:type="dxa"/>
            <w:tcBorders>
              <w:top w:val="single" w:sz="8" w:space="0" w:color="4F81BD"/>
              <w:left w:val="nil"/>
              <w:bottom w:val="single" w:sz="8" w:space="0" w:color="4F81BD"/>
              <w:right w:val="nil"/>
            </w:tcBorders>
          </w:tcPr>
          <w:p w14:paraId="3DC2687F" w14:textId="77777777" w:rsidR="00401649" w:rsidRPr="002E55C3" w:rsidRDefault="00401649" w:rsidP="005B674F">
            <w:pPr>
              <w:rPr>
                <w:b/>
                <w:bCs/>
                <w:color w:val="365F91"/>
              </w:rPr>
            </w:pPr>
            <w:r w:rsidRPr="002E55C3">
              <w:rPr>
                <w:b/>
                <w:bCs/>
                <w:color w:val="365F91"/>
              </w:rPr>
              <w:t>Labor Category</w:t>
            </w:r>
          </w:p>
        </w:tc>
        <w:tc>
          <w:tcPr>
            <w:tcW w:w="4235" w:type="dxa"/>
            <w:tcBorders>
              <w:top w:val="single" w:sz="8" w:space="0" w:color="4F81BD"/>
              <w:left w:val="nil"/>
              <w:bottom w:val="single" w:sz="8" w:space="0" w:color="4F81BD"/>
              <w:right w:val="nil"/>
            </w:tcBorders>
          </w:tcPr>
          <w:p w14:paraId="662FA82D" w14:textId="77777777" w:rsidR="00401649" w:rsidRPr="002E55C3" w:rsidRDefault="00401649" w:rsidP="005B674F">
            <w:pPr>
              <w:rPr>
                <w:b/>
                <w:bCs/>
                <w:color w:val="365F91"/>
              </w:rPr>
            </w:pPr>
            <w:r w:rsidRPr="002E55C3">
              <w:rPr>
                <w:b/>
                <w:bCs/>
                <w:color w:val="365F91"/>
              </w:rPr>
              <w:t xml:space="preserve">Name(s), If Individual Named in the Response </w:t>
            </w:r>
          </w:p>
        </w:tc>
        <w:tc>
          <w:tcPr>
            <w:tcW w:w="1619" w:type="dxa"/>
            <w:tcBorders>
              <w:top w:val="single" w:sz="8" w:space="0" w:color="4F81BD"/>
              <w:left w:val="nil"/>
              <w:bottom w:val="single" w:sz="8" w:space="0" w:color="4F81BD"/>
              <w:right w:val="nil"/>
            </w:tcBorders>
          </w:tcPr>
          <w:p w14:paraId="4D53B098" w14:textId="77777777" w:rsidR="00401649" w:rsidRPr="002E55C3" w:rsidRDefault="00401649" w:rsidP="005B674F">
            <w:pPr>
              <w:rPr>
                <w:b/>
                <w:bCs/>
                <w:color w:val="365F91"/>
              </w:rPr>
            </w:pPr>
            <w:r w:rsidRPr="002E55C3">
              <w:rPr>
                <w:b/>
                <w:bCs/>
                <w:color w:val="365F91"/>
              </w:rPr>
              <w:t>Hourly Rate</w:t>
            </w:r>
          </w:p>
        </w:tc>
        <w:tc>
          <w:tcPr>
            <w:tcW w:w="1743" w:type="dxa"/>
            <w:tcBorders>
              <w:top w:val="single" w:sz="8" w:space="0" w:color="4F81BD"/>
              <w:left w:val="nil"/>
              <w:bottom w:val="single" w:sz="8" w:space="0" w:color="4F81BD"/>
              <w:right w:val="nil"/>
            </w:tcBorders>
          </w:tcPr>
          <w:p w14:paraId="1EAAA6CA" w14:textId="77777777" w:rsidR="00401649" w:rsidRPr="002E55C3" w:rsidRDefault="00401649" w:rsidP="005B674F">
            <w:pPr>
              <w:rPr>
                <w:b/>
                <w:bCs/>
                <w:color w:val="365F91"/>
              </w:rPr>
            </w:pPr>
            <w:r>
              <w:rPr>
                <w:b/>
                <w:bCs/>
                <w:color w:val="365F91"/>
              </w:rPr>
              <w:t>Anticipated Hours</w:t>
            </w:r>
          </w:p>
        </w:tc>
      </w:tr>
      <w:tr w:rsidR="00401649" w14:paraId="7EA40F80" w14:textId="77777777" w:rsidTr="005B674F">
        <w:tc>
          <w:tcPr>
            <w:tcW w:w="2429" w:type="dxa"/>
            <w:tcBorders>
              <w:left w:val="nil"/>
              <w:right w:val="nil"/>
            </w:tcBorders>
            <w:shd w:val="clear" w:color="auto" w:fill="D3DFEE"/>
          </w:tcPr>
          <w:p w14:paraId="47CD78F1" w14:textId="77777777" w:rsidR="00401649" w:rsidRPr="002E55C3" w:rsidRDefault="00401649" w:rsidP="005B674F">
            <w:pPr>
              <w:rPr>
                <w:b/>
                <w:bCs/>
                <w:color w:val="365F91"/>
              </w:rPr>
            </w:pPr>
          </w:p>
        </w:tc>
        <w:tc>
          <w:tcPr>
            <w:tcW w:w="4235" w:type="dxa"/>
            <w:tcBorders>
              <w:left w:val="nil"/>
              <w:right w:val="nil"/>
            </w:tcBorders>
            <w:shd w:val="clear" w:color="auto" w:fill="D3DFEE"/>
          </w:tcPr>
          <w:p w14:paraId="30A5A3B2" w14:textId="77777777" w:rsidR="00401649" w:rsidRPr="002E55C3" w:rsidRDefault="00401649" w:rsidP="005B674F">
            <w:pPr>
              <w:rPr>
                <w:color w:val="365F91"/>
              </w:rPr>
            </w:pPr>
          </w:p>
        </w:tc>
        <w:tc>
          <w:tcPr>
            <w:tcW w:w="1619" w:type="dxa"/>
            <w:tcBorders>
              <w:left w:val="nil"/>
              <w:right w:val="nil"/>
            </w:tcBorders>
            <w:shd w:val="clear" w:color="auto" w:fill="D3DFEE"/>
          </w:tcPr>
          <w:p w14:paraId="5D85BDF4" w14:textId="77777777" w:rsidR="00401649" w:rsidRPr="002E55C3" w:rsidRDefault="00401649" w:rsidP="005B674F">
            <w:pPr>
              <w:rPr>
                <w:color w:val="365F91"/>
              </w:rPr>
            </w:pPr>
          </w:p>
        </w:tc>
        <w:tc>
          <w:tcPr>
            <w:tcW w:w="1743" w:type="dxa"/>
            <w:tcBorders>
              <w:left w:val="nil"/>
              <w:right w:val="nil"/>
            </w:tcBorders>
            <w:shd w:val="clear" w:color="auto" w:fill="D3DFEE"/>
          </w:tcPr>
          <w:p w14:paraId="6ED50EC2" w14:textId="77777777" w:rsidR="00401649" w:rsidRPr="002E55C3" w:rsidRDefault="00401649" w:rsidP="005B674F">
            <w:pPr>
              <w:rPr>
                <w:color w:val="365F91"/>
              </w:rPr>
            </w:pPr>
          </w:p>
        </w:tc>
      </w:tr>
      <w:tr w:rsidR="00401649" w14:paraId="6F7806DB" w14:textId="77777777" w:rsidTr="005B674F">
        <w:tc>
          <w:tcPr>
            <w:tcW w:w="2429" w:type="dxa"/>
          </w:tcPr>
          <w:p w14:paraId="76F39868" w14:textId="77777777" w:rsidR="00401649" w:rsidRPr="002E55C3" w:rsidRDefault="00401649" w:rsidP="005B674F">
            <w:pPr>
              <w:rPr>
                <w:b/>
                <w:bCs/>
                <w:color w:val="365F91"/>
              </w:rPr>
            </w:pPr>
          </w:p>
        </w:tc>
        <w:tc>
          <w:tcPr>
            <w:tcW w:w="4235" w:type="dxa"/>
          </w:tcPr>
          <w:p w14:paraId="7A2AD82C" w14:textId="77777777" w:rsidR="00401649" w:rsidRPr="002E55C3" w:rsidRDefault="00401649" w:rsidP="005B674F">
            <w:pPr>
              <w:rPr>
                <w:color w:val="365F91"/>
              </w:rPr>
            </w:pPr>
          </w:p>
        </w:tc>
        <w:tc>
          <w:tcPr>
            <w:tcW w:w="1619" w:type="dxa"/>
          </w:tcPr>
          <w:p w14:paraId="58B3FCB4" w14:textId="77777777" w:rsidR="00401649" w:rsidRPr="002E55C3" w:rsidRDefault="00401649" w:rsidP="005B674F">
            <w:pPr>
              <w:rPr>
                <w:color w:val="365F91"/>
              </w:rPr>
            </w:pPr>
          </w:p>
        </w:tc>
        <w:tc>
          <w:tcPr>
            <w:tcW w:w="1743" w:type="dxa"/>
          </w:tcPr>
          <w:p w14:paraId="0BF274D0" w14:textId="77777777" w:rsidR="00401649" w:rsidRPr="002E55C3" w:rsidRDefault="00401649" w:rsidP="005B674F">
            <w:pPr>
              <w:rPr>
                <w:color w:val="365F91"/>
              </w:rPr>
            </w:pPr>
          </w:p>
        </w:tc>
      </w:tr>
      <w:tr w:rsidR="00401649" w14:paraId="3C29C1B2" w14:textId="77777777" w:rsidTr="005B674F">
        <w:tc>
          <w:tcPr>
            <w:tcW w:w="2429" w:type="dxa"/>
            <w:tcBorders>
              <w:left w:val="nil"/>
              <w:right w:val="nil"/>
            </w:tcBorders>
            <w:shd w:val="clear" w:color="auto" w:fill="D3DFEE"/>
          </w:tcPr>
          <w:p w14:paraId="6AAC01B5" w14:textId="77777777" w:rsidR="00401649" w:rsidRPr="002E55C3" w:rsidRDefault="00401649" w:rsidP="005B674F">
            <w:pPr>
              <w:rPr>
                <w:b/>
                <w:bCs/>
                <w:color w:val="365F91"/>
              </w:rPr>
            </w:pPr>
          </w:p>
        </w:tc>
        <w:tc>
          <w:tcPr>
            <w:tcW w:w="4235" w:type="dxa"/>
            <w:tcBorders>
              <w:left w:val="nil"/>
              <w:right w:val="nil"/>
            </w:tcBorders>
            <w:shd w:val="clear" w:color="auto" w:fill="D3DFEE"/>
          </w:tcPr>
          <w:p w14:paraId="63CA6A39" w14:textId="77777777" w:rsidR="00401649" w:rsidRPr="002E55C3" w:rsidRDefault="00401649" w:rsidP="005B674F">
            <w:pPr>
              <w:rPr>
                <w:color w:val="365F91"/>
              </w:rPr>
            </w:pPr>
          </w:p>
        </w:tc>
        <w:tc>
          <w:tcPr>
            <w:tcW w:w="1619" w:type="dxa"/>
            <w:tcBorders>
              <w:left w:val="nil"/>
              <w:right w:val="nil"/>
            </w:tcBorders>
            <w:shd w:val="clear" w:color="auto" w:fill="D3DFEE"/>
          </w:tcPr>
          <w:p w14:paraId="6759F501" w14:textId="77777777" w:rsidR="00401649" w:rsidRPr="002E55C3" w:rsidRDefault="00401649" w:rsidP="005B674F">
            <w:pPr>
              <w:rPr>
                <w:color w:val="365F91"/>
              </w:rPr>
            </w:pPr>
          </w:p>
        </w:tc>
        <w:tc>
          <w:tcPr>
            <w:tcW w:w="1743" w:type="dxa"/>
            <w:tcBorders>
              <w:left w:val="nil"/>
              <w:right w:val="nil"/>
            </w:tcBorders>
            <w:shd w:val="clear" w:color="auto" w:fill="D3DFEE"/>
          </w:tcPr>
          <w:p w14:paraId="01192193" w14:textId="77777777" w:rsidR="00401649" w:rsidRPr="002E55C3" w:rsidRDefault="00401649" w:rsidP="005B674F">
            <w:pPr>
              <w:rPr>
                <w:color w:val="365F91"/>
              </w:rPr>
            </w:pPr>
          </w:p>
        </w:tc>
      </w:tr>
      <w:tr w:rsidR="00401649" w14:paraId="53E29812" w14:textId="77777777" w:rsidTr="005B674F">
        <w:tc>
          <w:tcPr>
            <w:tcW w:w="2429" w:type="dxa"/>
          </w:tcPr>
          <w:p w14:paraId="28F89379" w14:textId="77777777" w:rsidR="00401649" w:rsidRPr="002E55C3" w:rsidRDefault="00401649" w:rsidP="005B674F">
            <w:pPr>
              <w:rPr>
                <w:b/>
                <w:bCs/>
                <w:color w:val="365F91"/>
              </w:rPr>
            </w:pPr>
            <w:r>
              <w:rPr>
                <w:b/>
                <w:bCs/>
                <w:color w:val="365F91"/>
              </w:rPr>
              <w:t xml:space="preserve"> </w:t>
            </w:r>
          </w:p>
        </w:tc>
        <w:tc>
          <w:tcPr>
            <w:tcW w:w="4235" w:type="dxa"/>
          </w:tcPr>
          <w:p w14:paraId="633E44AC" w14:textId="77777777" w:rsidR="00401649" w:rsidRPr="002E55C3" w:rsidRDefault="00401649" w:rsidP="005B674F">
            <w:pPr>
              <w:rPr>
                <w:color w:val="365F91"/>
              </w:rPr>
            </w:pPr>
          </w:p>
        </w:tc>
        <w:tc>
          <w:tcPr>
            <w:tcW w:w="1619" w:type="dxa"/>
          </w:tcPr>
          <w:p w14:paraId="66DD71C5" w14:textId="77777777" w:rsidR="00401649" w:rsidRPr="002E55C3" w:rsidRDefault="00401649" w:rsidP="005B674F">
            <w:pPr>
              <w:rPr>
                <w:color w:val="365F91"/>
              </w:rPr>
            </w:pPr>
          </w:p>
        </w:tc>
        <w:tc>
          <w:tcPr>
            <w:tcW w:w="1743" w:type="dxa"/>
          </w:tcPr>
          <w:p w14:paraId="586272FF" w14:textId="77777777" w:rsidR="00401649" w:rsidRPr="002E55C3" w:rsidRDefault="00401649" w:rsidP="005B674F">
            <w:pPr>
              <w:rPr>
                <w:color w:val="365F91"/>
              </w:rPr>
            </w:pPr>
          </w:p>
        </w:tc>
      </w:tr>
    </w:tbl>
    <w:p w14:paraId="36F0D8E9" w14:textId="77777777" w:rsidR="00B779F9" w:rsidRDefault="00B779F9"/>
    <w:p w14:paraId="50BE2B79" w14:textId="77777777" w:rsidR="001754EC" w:rsidRPr="001754EC" w:rsidRDefault="001754EC" w:rsidP="001754EC">
      <w:r>
        <w:t>Option Year Three</w:t>
      </w:r>
      <w:r w:rsidRPr="001754EC">
        <w:t>:</w:t>
      </w:r>
    </w:p>
    <w:tbl>
      <w:tblPr>
        <w:tblW w:w="0" w:type="auto"/>
        <w:tblBorders>
          <w:top w:val="single" w:sz="8" w:space="0" w:color="4F81BD"/>
          <w:bottom w:val="single" w:sz="8" w:space="0" w:color="4F81BD"/>
        </w:tblBorders>
        <w:tblLook w:val="04A0" w:firstRow="1" w:lastRow="0" w:firstColumn="1" w:lastColumn="0" w:noHBand="0" w:noVBand="1"/>
      </w:tblPr>
      <w:tblGrid>
        <w:gridCol w:w="2429"/>
        <w:gridCol w:w="4235"/>
        <w:gridCol w:w="1619"/>
        <w:gridCol w:w="1743"/>
      </w:tblGrid>
      <w:tr w:rsidR="00401649" w14:paraId="37828FE9" w14:textId="77777777" w:rsidTr="005B674F">
        <w:tc>
          <w:tcPr>
            <w:tcW w:w="2429" w:type="dxa"/>
            <w:tcBorders>
              <w:top w:val="single" w:sz="8" w:space="0" w:color="4F81BD"/>
              <w:left w:val="nil"/>
              <w:bottom w:val="single" w:sz="8" w:space="0" w:color="4F81BD"/>
              <w:right w:val="nil"/>
            </w:tcBorders>
          </w:tcPr>
          <w:p w14:paraId="2A96B014" w14:textId="77777777" w:rsidR="00401649" w:rsidRPr="002E55C3" w:rsidRDefault="00401649" w:rsidP="005B674F">
            <w:pPr>
              <w:rPr>
                <w:b/>
                <w:bCs/>
                <w:color w:val="365F91"/>
              </w:rPr>
            </w:pPr>
            <w:r w:rsidRPr="002E55C3">
              <w:rPr>
                <w:b/>
                <w:bCs/>
                <w:color w:val="365F91"/>
              </w:rPr>
              <w:t>Labor Category</w:t>
            </w:r>
          </w:p>
        </w:tc>
        <w:tc>
          <w:tcPr>
            <w:tcW w:w="4235" w:type="dxa"/>
            <w:tcBorders>
              <w:top w:val="single" w:sz="8" w:space="0" w:color="4F81BD"/>
              <w:left w:val="nil"/>
              <w:bottom w:val="single" w:sz="8" w:space="0" w:color="4F81BD"/>
              <w:right w:val="nil"/>
            </w:tcBorders>
          </w:tcPr>
          <w:p w14:paraId="71EDB10D" w14:textId="77777777" w:rsidR="00401649" w:rsidRPr="002E55C3" w:rsidRDefault="00401649" w:rsidP="005B674F">
            <w:pPr>
              <w:rPr>
                <w:b/>
                <w:bCs/>
                <w:color w:val="365F91"/>
              </w:rPr>
            </w:pPr>
            <w:r w:rsidRPr="002E55C3">
              <w:rPr>
                <w:b/>
                <w:bCs/>
                <w:color w:val="365F91"/>
              </w:rPr>
              <w:t xml:space="preserve">Name(s), If Individual Named in the Response </w:t>
            </w:r>
          </w:p>
        </w:tc>
        <w:tc>
          <w:tcPr>
            <w:tcW w:w="1619" w:type="dxa"/>
            <w:tcBorders>
              <w:top w:val="single" w:sz="8" w:space="0" w:color="4F81BD"/>
              <w:left w:val="nil"/>
              <w:bottom w:val="single" w:sz="8" w:space="0" w:color="4F81BD"/>
              <w:right w:val="nil"/>
            </w:tcBorders>
          </w:tcPr>
          <w:p w14:paraId="46AE2BFE" w14:textId="77777777" w:rsidR="00401649" w:rsidRPr="002E55C3" w:rsidRDefault="00401649" w:rsidP="005B674F">
            <w:pPr>
              <w:rPr>
                <w:b/>
                <w:bCs/>
                <w:color w:val="365F91"/>
              </w:rPr>
            </w:pPr>
            <w:r w:rsidRPr="002E55C3">
              <w:rPr>
                <w:b/>
                <w:bCs/>
                <w:color w:val="365F91"/>
              </w:rPr>
              <w:t>Hourly Rate</w:t>
            </w:r>
          </w:p>
        </w:tc>
        <w:tc>
          <w:tcPr>
            <w:tcW w:w="1743" w:type="dxa"/>
            <w:tcBorders>
              <w:top w:val="single" w:sz="8" w:space="0" w:color="4F81BD"/>
              <w:left w:val="nil"/>
              <w:bottom w:val="single" w:sz="8" w:space="0" w:color="4F81BD"/>
              <w:right w:val="nil"/>
            </w:tcBorders>
          </w:tcPr>
          <w:p w14:paraId="22DA9B3F" w14:textId="77777777" w:rsidR="00401649" w:rsidRPr="002E55C3" w:rsidRDefault="00401649" w:rsidP="005B674F">
            <w:pPr>
              <w:rPr>
                <w:b/>
                <w:bCs/>
                <w:color w:val="365F91"/>
              </w:rPr>
            </w:pPr>
            <w:r>
              <w:rPr>
                <w:b/>
                <w:bCs/>
                <w:color w:val="365F91"/>
              </w:rPr>
              <w:t>Anticipated Hours</w:t>
            </w:r>
          </w:p>
        </w:tc>
      </w:tr>
      <w:tr w:rsidR="00401649" w14:paraId="5440A175" w14:textId="77777777" w:rsidTr="005B674F">
        <w:tc>
          <w:tcPr>
            <w:tcW w:w="2429" w:type="dxa"/>
            <w:tcBorders>
              <w:left w:val="nil"/>
              <w:right w:val="nil"/>
            </w:tcBorders>
            <w:shd w:val="clear" w:color="auto" w:fill="D3DFEE"/>
          </w:tcPr>
          <w:p w14:paraId="26D7B730" w14:textId="77777777" w:rsidR="00401649" w:rsidRPr="002E55C3" w:rsidRDefault="00401649" w:rsidP="005B674F">
            <w:pPr>
              <w:rPr>
                <w:b/>
                <w:bCs/>
                <w:color w:val="365F91"/>
              </w:rPr>
            </w:pPr>
          </w:p>
        </w:tc>
        <w:tc>
          <w:tcPr>
            <w:tcW w:w="4235" w:type="dxa"/>
            <w:tcBorders>
              <w:left w:val="nil"/>
              <w:right w:val="nil"/>
            </w:tcBorders>
            <w:shd w:val="clear" w:color="auto" w:fill="D3DFEE"/>
          </w:tcPr>
          <w:p w14:paraId="3C9B623D" w14:textId="77777777" w:rsidR="00401649" w:rsidRPr="002E55C3" w:rsidRDefault="00401649" w:rsidP="005B674F">
            <w:pPr>
              <w:rPr>
                <w:color w:val="365F91"/>
              </w:rPr>
            </w:pPr>
          </w:p>
        </w:tc>
        <w:tc>
          <w:tcPr>
            <w:tcW w:w="1619" w:type="dxa"/>
            <w:tcBorders>
              <w:left w:val="nil"/>
              <w:right w:val="nil"/>
            </w:tcBorders>
            <w:shd w:val="clear" w:color="auto" w:fill="D3DFEE"/>
          </w:tcPr>
          <w:p w14:paraId="301481AC" w14:textId="77777777" w:rsidR="00401649" w:rsidRPr="002E55C3" w:rsidRDefault="00401649" w:rsidP="005B674F">
            <w:pPr>
              <w:rPr>
                <w:color w:val="365F91"/>
              </w:rPr>
            </w:pPr>
          </w:p>
        </w:tc>
        <w:tc>
          <w:tcPr>
            <w:tcW w:w="1743" w:type="dxa"/>
            <w:tcBorders>
              <w:left w:val="nil"/>
              <w:right w:val="nil"/>
            </w:tcBorders>
            <w:shd w:val="clear" w:color="auto" w:fill="D3DFEE"/>
          </w:tcPr>
          <w:p w14:paraId="1DBF7037" w14:textId="77777777" w:rsidR="00401649" w:rsidRPr="002E55C3" w:rsidRDefault="00401649" w:rsidP="005B674F">
            <w:pPr>
              <w:rPr>
                <w:color w:val="365F91"/>
              </w:rPr>
            </w:pPr>
          </w:p>
        </w:tc>
      </w:tr>
      <w:tr w:rsidR="00401649" w14:paraId="46495A52" w14:textId="77777777" w:rsidTr="005B674F">
        <w:tc>
          <w:tcPr>
            <w:tcW w:w="2429" w:type="dxa"/>
          </w:tcPr>
          <w:p w14:paraId="4E7ED72D" w14:textId="77777777" w:rsidR="00401649" w:rsidRPr="002E55C3" w:rsidRDefault="00401649" w:rsidP="005B674F">
            <w:pPr>
              <w:rPr>
                <w:b/>
                <w:bCs/>
                <w:color w:val="365F91"/>
              </w:rPr>
            </w:pPr>
          </w:p>
        </w:tc>
        <w:tc>
          <w:tcPr>
            <w:tcW w:w="4235" w:type="dxa"/>
          </w:tcPr>
          <w:p w14:paraId="7311B2BC" w14:textId="77777777" w:rsidR="00401649" w:rsidRPr="002E55C3" w:rsidRDefault="00401649" w:rsidP="005B674F">
            <w:pPr>
              <w:rPr>
                <w:color w:val="365F91"/>
              </w:rPr>
            </w:pPr>
          </w:p>
        </w:tc>
        <w:tc>
          <w:tcPr>
            <w:tcW w:w="1619" w:type="dxa"/>
          </w:tcPr>
          <w:p w14:paraId="0902CAE4" w14:textId="77777777" w:rsidR="00401649" w:rsidRPr="002E55C3" w:rsidRDefault="00401649" w:rsidP="005B674F">
            <w:pPr>
              <w:rPr>
                <w:color w:val="365F91"/>
              </w:rPr>
            </w:pPr>
          </w:p>
        </w:tc>
        <w:tc>
          <w:tcPr>
            <w:tcW w:w="1743" w:type="dxa"/>
          </w:tcPr>
          <w:p w14:paraId="4B2E3238" w14:textId="77777777" w:rsidR="00401649" w:rsidRPr="002E55C3" w:rsidRDefault="00401649" w:rsidP="005B674F">
            <w:pPr>
              <w:rPr>
                <w:color w:val="365F91"/>
              </w:rPr>
            </w:pPr>
          </w:p>
        </w:tc>
      </w:tr>
      <w:tr w:rsidR="00401649" w14:paraId="44DF92D3" w14:textId="77777777" w:rsidTr="005B674F">
        <w:tc>
          <w:tcPr>
            <w:tcW w:w="2429" w:type="dxa"/>
            <w:tcBorders>
              <w:left w:val="nil"/>
              <w:right w:val="nil"/>
            </w:tcBorders>
            <w:shd w:val="clear" w:color="auto" w:fill="D3DFEE"/>
          </w:tcPr>
          <w:p w14:paraId="071ADCAD" w14:textId="77777777" w:rsidR="00401649" w:rsidRPr="002E55C3" w:rsidRDefault="00401649" w:rsidP="005B674F">
            <w:pPr>
              <w:rPr>
                <w:b/>
                <w:bCs/>
                <w:color w:val="365F91"/>
              </w:rPr>
            </w:pPr>
          </w:p>
        </w:tc>
        <w:tc>
          <w:tcPr>
            <w:tcW w:w="4235" w:type="dxa"/>
            <w:tcBorders>
              <w:left w:val="nil"/>
              <w:right w:val="nil"/>
            </w:tcBorders>
            <w:shd w:val="clear" w:color="auto" w:fill="D3DFEE"/>
          </w:tcPr>
          <w:p w14:paraId="2C908701" w14:textId="77777777" w:rsidR="00401649" w:rsidRPr="002E55C3" w:rsidRDefault="00401649" w:rsidP="005B674F">
            <w:pPr>
              <w:rPr>
                <w:color w:val="365F91"/>
              </w:rPr>
            </w:pPr>
          </w:p>
        </w:tc>
        <w:tc>
          <w:tcPr>
            <w:tcW w:w="1619" w:type="dxa"/>
            <w:tcBorders>
              <w:left w:val="nil"/>
              <w:right w:val="nil"/>
            </w:tcBorders>
            <w:shd w:val="clear" w:color="auto" w:fill="D3DFEE"/>
          </w:tcPr>
          <w:p w14:paraId="3F980702" w14:textId="77777777" w:rsidR="00401649" w:rsidRPr="002E55C3" w:rsidRDefault="00401649" w:rsidP="005B674F">
            <w:pPr>
              <w:rPr>
                <w:color w:val="365F91"/>
              </w:rPr>
            </w:pPr>
          </w:p>
        </w:tc>
        <w:tc>
          <w:tcPr>
            <w:tcW w:w="1743" w:type="dxa"/>
            <w:tcBorders>
              <w:left w:val="nil"/>
              <w:right w:val="nil"/>
            </w:tcBorders>
            <w:shd w:val="clear" w:color="auto" w:fill="D3DFEE"/>
          </w:tcPr>
          <w:p w14:paraId="4651A2CE" w14:textId="77777777" w:rsidR="00401649" w:rsidRPr="002E55C3" w:rsidRDefault="00401649" w:rsidP="005B674F">
            <w:pPr>
              <w:rPr>
                <w:color w:val="365F91"/>
              </w:rPr>
            </w:pPr>
          </w:p>
        </w:tc>
      </w:tr>
      <w:tr w:rsidR="00401649" w14:paraId="7F7050F9" w14:textId="77777777" w:rsidTr="005B674F">
        <w:tc>
          <w:tcPr>
            <w:tcW w:w="2429" w:type="dxa"/>
          </w:tcPr>
          <w:p w14:paraId="50108843" w14:textId="77777777" w:rsidR="00401649" w:rsidRPr="002E55C3" w:rsidRDefault="00401649" w:rsidP="005B674F">
            <w:pPr>
              <w:rPr>
                <w:b/>
                <w:bCs/>
                <w:color w:val="365F91"/>
              </w:rPr>
            </w:pPr>
            <w:r>
              <w:rPr>
                <w:b/>
                <w:bCs/>
                <w:color w:val="365F91"/>
              </w:rPr>
              <w:t xml:space="preserve"> </w:t>
            </w:r>
          </w:p>
        </w:tc>
        <w:tc>
          <w:tcPr>
            <w:tcW w:w="4235" w:type="dxa"/>
          </w:tcPr>
          <w:p w14:paraId="2548437D" w14:textId="77777777" w:rsidR="00401649" w:rsidRPr="002E55C3" w:rsidRDefault="00401649" w:rsidP="005B674F">
            <w:pPr>
              <w:rPr>
                <w:color w:val="365F91"/>
              </w:rPr>
            </w:pPr>
          </w:p>
        </w:tc>
        <w:tc>
          <w:tcPr>
            <w:tcW w:w="1619" w:type="dxa"/>
          </w:tcPr>
          <w:p w14:paraId="6051E162" w14:textId="77777777" w:rsidR="00401649" w:rsidRPr="002E55C3" w:rsidRDefault="00401649" w:rsidP="005B674F">
            <w:pPr>
              <w:rPr>
                <w:color w:val="365F91"/>
              </w:rPr>
            </w:pPr>
          </w:p>
        </w:tc>
        <w:tc>
          <w:tcPr>
            <w:tcW w:w="1743" w:type="dxa"/>
          </w:tcPr>
          <w:p w14:paraId="404057AD" w14:textId="77777777" w:rsidR="00401649" w:rsidRPr="002E55C3" w:rsidRDefault="00401649" w:rsidP="005B674F">
            <w:pPr>
              <w:rPr>
                <w:color w:val="365F91"/>
              </w:rPr>
            </w:pPr>
          </w:p>
        </w:tc>
      </w:tr>
    </w:tbl>
    <w:p w14:paraId="12DF6B74" w14:textId="77777777" w:rsidR="00B779F9" w:rsidRDefault="00B779F9"/>
    <w:sectPr w:rsidR="00B779F9" w:rsidSect="00D70C89">
      <w:headerReference w:type="even" r:id="rId7"/>
      <w:headerReference w:type="default" r:id="rId8"/>
      <w:footerReference w:type="even" r:id="rId9"/>
      <w:footerReference w:type="default" r:id="rId10"/>
      <w:headerReference w:type="first" r:id="rId11"/>
      <w:footerReference w:type="first" r:id="rId12"/>
      <w:pgSz w:w="12240" w:h="15840" w:code="1"/>
      <w:pgMar w:top="1800" w:right="990" w:bottom="1440" w:left="1440" w:header="720" w:footer="389" w:gutter="0"/>
      <w:pgBorders w:zOrder="back" w:display="notFirstPage">
        <w:left w:val="single" w:sz="8" w:space="31" w:color="E9961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EE8F3" w14:textId="77777777" w:rsidR="00140391" w:rsidRDefault="00140391" w:rsidP="008629C4">
      <w:pPr>
        <w:spacing w:after="0"/>
      </w:pPr>
      <w:r>
        <w:separator/>
      </w:r>
    </w:p>
  </w:endnote>
  <w:endnote w:type="continuationSeparator" w:id="0">
    <w:p w14:paraId="798FA2AF" w14:textId="77777777" w:rsidR="00140391" w:rsidRDefault="00140391" w:rsidP="00862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Utsaah">
    <w:altName w:val="Arial"/>
    <w:charset w:val="00"/>
    <w:family w:val="swiss"/>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0AA6" w14:textId="77777777" w:rsidR="00DA7A12" w:rsidRDefault="00DA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CA8A" w14:textId="77777777" w:rsidR="00140391" w:rsidRPr="007542EC" w:rsidRDefault="00140391" w:rsidP="00D70C89">
    <w:pPr>
      <w:pBdr>
        <w:bottom w:val="single" w:sz="6" w:space="1" w:color="A6A6A6"/>
      </w:pBdr>
      <w:tabs>
        <w:tab w:val="center" w:pos="4680"/>
        <w:tab w:val="right" w:pos="9360"/>
      </w:tabs>
      <w:spacing w:after="0"/>
      <w:jc w:val="center"/>
      <w:rPr>
        <w:rFonts w:ascii="Utsaah" w:hAnsi="Utsaah" w:cs="Utsaah"/>
        <w:color w:val="015696"/>
        <w:szCs w:val="22"/>
      </w:rPr>
    </w:pPr>
    <w:r w:rsidRPr="007542EC">
      <w:rPr>
        <w:rFonts w:ascii="Utsaah" w:hAnsi="Utsaah" w:cs="Utsaah"/>
        <w:color w:val="015696"/>
        <w:szCs w:val="22"/>
      </w:rPr>
      <w:t xml:space="preserve">Chesapeake Regional </w:t>
    </w:r>
    <w:r>
      <w:rPr>
        <w:rFonts w:ascii="Utsaah" w:hAnsi="Utsaah" w:cs="Utsaah"/>
        <w:color w:val="015696"/>
        <w:szCs w:val="22"/>
      </w:rPr>
      <w:t>I</w:t>
    </w:r>
    <w:r w:rsidRPr="007542EC">
      <w:rPr>
        <w:rFonts w:ascii="Utsaah" w:hAnsi="Utsaah" w:cs="Utsaah"/>
        <w:color w:val="015696"/>
        <w:szCs w:val="22"/>
      </w:rPr>
      <w:t>nformation System for our Patients</w:t>
    </w:r>
  </w:p>
  <w:p w14:paraId="3053FA4F" w14:textId="77777777" w:rsidR="00140391" w:rsidRPr="007542EC" w:rsidRDefault="00121FFB" w:rsidP="00D70C89">
    <w:pPr>
      <w:tabs>
        <w:tab w:val="center" w:pos="4680"/>
        <w:tab w:val="right" w:pos="9360"/>
      </w:tabs>
      <w:spacing w:after="0"/>
      <w:jc w:val="center"/>
      <w:rPr>
        <w:rFonts w:ascii="Utsaah" w:hAnsi="Utsaah" w:cs="Utsaah"/>
        <w:color w:val="015696"/>
        <w:szCs w:val="22"/>
      </w:rPr>
    </w:pPr>
    <w:hyperlink r:id="rId1" w:history="1">
      <w:r w:rsidR="00140391" w:rsidRPr="007542EC">
        <w:rPr>
          <w:rFonts w:ascii="Utsaah" w:hAnsi="Utsaah" w:cs="Utsaah"/>
          <w:color w:val="015696"/>
          <w:szCs w:val="22"/>
        </w:rPr>
        <w:t>www.crisphealth.org</w:t>
      </w:r>
    </w:hyperlink>
  </w:p>
  <w:p w14:paraId="20B66AF0" w14:textId="1804A61E" w:rsidR="00140391" w:rsidRPr="0050066D" w:rsidRDefault="00140391" w:rsidP="00D70C89">
    <w:pPr>
      <w:tabs>
        <w:tab w:val="center" w:pos="4680"/>
        <w:tab w:val="right" w:pos="9360"/>
      </w:tabs>
      <w:spacing w:after="0"/>
      <w:jc w:val="center"/>
      <w:rPr>
        <w:rFonts w:ascii="Utsaah" w:hAnsi="Utsaah" w:cs="Utsaah"/>
        <w:color w:val="E99619"/>
        <w:szCs w:val="22"/>
      </w:rPr>
    </w:pPr>
    <w:r>
      <w:rPr>
        <w:rFonts w:ascii="Utsaah" w:hAnsi="Utsaah" w:cs="Utsaah"/>
        <w:color w:val="E99619"/>
        <w:szCs w:val="22"/>
      </w:rPr>
      <w:br/>
    </w:r>
    <w:r w:rsidRPr="0050066D">
      <w:rPr>
        <w:rFonts w:ascii="Utsaah" w:hAnsi="Utsaah" w:cs="Utsaah"/>
        <w:color w:val="E99619"/>
        <w:szCs w:val="22"/>
      </w:rPr>
      <w:fldChar w:fldCharType="begin"/>
    </w:r>
    <w:r w:rsidRPr="0050066D">
      <w:rPr>
        <w:rFonts w:ascii="Utsaah" w:hAnsi="Utsaah" w:cs="Utsaah"/>
        <w:color w:val="E99619"/>
        <w:szCs w:val="22"/>
      </w:rPr>
      <w:instrText xml:space="preserve"> PAGE   \* MERGEFORMAT </w:instrText>
    </w:r>
    <w:r w:rsidRPr="0050066D">
      <w:rPr>
        <w:rFonts w:ascii="Utsaah" w:hAnsi="Utsaah" w:cs="Utsaah"/>
        <w:color w:val="E99619"/>
        <w:szCs w:val="22"/>
      </w:rPr>
      <w:fldChar w:fldCharType="separate"/>
    </w:r>
    <w:r w:rsidR="00121FFB" w:rsidRPr="00121FFB">
      <w:rPr>
        <w:rFonts w:ascii="Utsaah" w:hAnsi="Utsaah" w:cs="Utsaah"/>
        <w:noProof/>
        <w:color w:val="E99619"/>
        <w:sz w:val="24"/>
      </w:rPr>
      <w:t>2</w:t>
    </w:r>
    <w:r w:rsidRPr="0050066D">
      <w:rPr>
        <w:rFonts w:ascii="Utsaah" w:hAnsi="Utsaah" w:cs="Utsaah"/>
        <w:color w:val="E99619"/>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D33B" w14:textId="77777777" w:rsidR="00140391" w:rsidRDefault="00140391" w:rsidP="00D70C89">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CDD78" w14:textId="77777777" w:rsidR="00140391" w:rsidRDefault="00140391" w:rsidP="008629C4">
      <w:pPr>
        <w:spacing w:after="0"/>
      </w:pPr>
      <w:r>
        <w:separator/>
      </w:r>
    </w:p>
  </w:footnote>
  <w:footnote w:type="continuationSeparator" w:id="0">
    <w:p w14:paraId="4A9C3197" w14:textId="77777777" w:rsidR="00140391" w:rsidRDefault="00140391" w:rsidP="008629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D5AA" w14:textId="6718E419" w:rsidR="00140391" w:rsidRDefault="00140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78E" w14:textId="1082057A" w:rsidR="00140391" w:rsidRPr="00E552BB" w:rsidRDefault="00140391" w:rsidP="00D70C89">
    <w:pPr>
      <w:pStyle w:val="Header"/>
      <w:spacing w:after="0"/>
      <w:jc w:val="right"/>
      <w:rPr>
        <w:rFonts w:ascii="Arial" w:hAnsi="Arial" w:cs="Arial"/>
        <w:b/>
        <w:color w:val="015696"/>
      </w:rPr>
    </w:pPr>
    <w:r>
      <w:rPr>
        <w:noProof/>
        <w:color w:val="015696"/>
      </w:rPr>
      <w:drawing>
        <wp:anchor distT="0" distB="0" distL="114300" distR="114300" simplePos="0" relativeHeight="251659264" behindDoc="0" locked="0" layoutInCell="1" allowOverlap="1" wp14:anchorId="5F6FB864" wp14:editId="5C01D08F">
          <wp:simplePos x="0" y="0"/>
          <wp:positionH relativeFrom="column">
            <wp:posOffset>-662940</wp:posOffset>
          </wp:positionH>
          <wp:positionV relativeFrom="paragraph">
            <wp:posOffset>0</wp:posOffset>
          </wp:positionV>
          <wp:extent cx="530225" cy="68199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15696"/>
      </w:rPr>
      <w:t xml:space="preserve">HCIP Administration </w:t>
    </w:r>
    <w:r w:rsidR="00846758">
      <w:rPr>
        <w:color w:val="015696"/>
      </w:rPr>
      <w:t>RFP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A1AB" w14:textId="40F37790" w:rsidR="00140391" w:rsidRDefault="00140391" w:rsidP="00D70C89">
    <w:pPr>
      <w:pStyle w:val="Header"/>
      <w:spacing w:after="0"/>
      <w:ind w:left="-990"/>
      <w:rPr>
        <w:color w:val="1D5693"/>
      </w:rPr>
    </w:pPr>
    <w:r>
      <w:rPr>
        <w:noProof/>
        <w:color w:val="1D5693"/>
      </w:rPr>
      <w:drawing>
        <wp:anchor distT="0" distB="0" distL="114300" distR="114300" simplePos="0" relativeHeight="251660288" behindDoc="1" locked="0" layoutInCell="1" allowOverlap="1" wp14:anchorId="5210E773" wp14:editId="6D8C0782">
          <wp:simplePos x="0" y="0"/>
          <wp:positionH relativeFrom="page">
            <wp:posOffset>19050</wp:posOffset>
          </wp:positionH>
          <wp:positionV relativeFrom="page">
            <wp:posOffset>-85725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0E86D" w14:textId="77777777" w:rsidR="00140391" w:rsidRPr="00581192" w:rsidRDefault="00140391" w:rsidP="00D70C89">
    <w:pPr>
      <w:pStyle w:val="Header"/>
      <w:tabs>
        <w:tab w:val="clear" w:pos="4320"/>
        <w:tab w:val="clear" w:pos="8640"/>
        <w:tab w:val="left" w:pos="5790"/>
      </w:tabs>
      <w:spacing w:after="0"/>
      <w:rPr>
        <w:color w:val="1D569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2041D"/>
    <w:multiLevelType w:val="hybridMultilevel"/>
    <w:tmpl w:val="277C3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A3065"/>
    <w:multiLevelType w:val="hybridMultilevel"/>
    <w:tmpl w:val="BE14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BFA"/>
    <w:multiLevelType w:val="hybridMultilevel"/>
    <w:tmpl w:val="05283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1DFA"/>
    <w:multiLevelType w:val="hybridMultilevel"/>
    <w:tmpl w:val="5532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05D4E"/>
    <w:multiLevelType w:val="hybridMultilevel"/>
    <w:tmpl w:val="61C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84E"/>
    <w:multiLevelType w:val="multilevel"/>
    <w:tmpl w:val="591A8F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996623E"/>
    <w:multiLevelType w:val="hybridMultilevel"/>
    <w:tmpl w:val="4CC2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B75CE"/>
    <w:multiLevelType w:val="multilevel"/>
    <w:tmpl w:val="587615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EC97688"/>
    <w:multiLevelType w:val="hybridMultilevel"/>
    <w:tmpl w:val="99BC370C"/>
    <w:lvl w:ilvl="0" w:tplc="4AD42F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34F6B"/>
    <w:multiLevelType w:val="hybridMultilevel"/>
    <w:tmpl w:val="F8B49684"/>
    <w:lvl w:ilvl="0" w:tplc="4AD42F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4C67"/>
    <w:multiLevelType w:val="hybridMultilevel"/>
    <w:tmpl w:val="A59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C1DDA"/>
    <w:multiLevelType w:val="hybridMultilevel"/>
    <w:tmpl w:val="CB60C48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005446"/>
    <w:multiLevelType w:val="hybridMultilevel"/>
    <w:tmpl w:val="6F9630B2"/>
    <w:lvl w:ilvl="0" w:tplc="68166D8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25A3A"/>
    <w:multiLevelType w:val="hybridMultilevel"/>
    <w:tmpl w:val="872AE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DF7BAD"/>
    <w:multiLevelType w:val="hybridMultilevel"/>
    <w:tmpl w:val="98080D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9618B1"/>
    <w:multiLevelType w:val="hybridMultilevel"/>
    <w:tmpl w:val="F44E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E0378"/>
    <w:multiLevelType w:val="hybridMultilevel"/>
    <w:tmpl w:val="434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C6D70"/>
    <w:multiLevelType w:val="hybridMultilevel"/>
    <w:tmpl w:val="749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452FE"/>
    <w:multiLevelType w:val="hybridMultilevel"/>
    <w:tmpl w:val="2922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E7097"/>
    <w:multiLevelType w:val="hybridMultilevel"/>
    <w:tmpl w:val="4AC012B8"/>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1" w15:restartNumberingAfterBreak="0">
    <w:nsid w:val="7EE55DD1"/>
    <w:multiLevelType w:val="hybridMultilevel"/>
    <w:tmpl w:val="D54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8"/>
  </w:num>
  <w:num w:numId="4">
    <w:abstractNumId w:val="20"/>
  </w:num>
  <w:num w:numId="5">
    <w:abstractNumId w:val="14"/>
  </w:num>
  <w:num w:numId="6">
    <w:abstractNumId w:val="5"/>
  </w:num>
  <w:num w:numId="7">
    <w:abstractNumId w:val="9"/>
  </w:num>
  <w:num w:numId="8">
    <w:abstractNumId w:val="10"/>
  </w:num>
  <w:num w:numId="9">
    <w:abstractNumId w:val="2"/>
  </w:num>
  <w:num w:numId="10">
    <w:abstractNumId w:val="16"/>
  </w:num>
  <w:num w:numId="11">
    <w:abstractNumId w:val="11"/>
  </w:num>
  <w:num w:numId="12">
    <w:abstractNumId w:val="0"/>
  </w:num>
  <w:num w:numId="13">
    <w:abstractNumId w:val="3"/>
  </w:num>
  <w:num w:numId="14">
    <w:abstractNumId w:val="12"/>
  </w:num>
  <w:num w:numId="15">
    <w:abstractNumId w:val="19"/>
  </w:num>
  <w:num w:numId="16">
    <w:abstractNumId w:val="1"/>
  </w:num>
  <w:num w:numId="17">
    <w:abstractNumId w:val="7"/>
  </w:num>
  <w:num w:numId="18">
    <w:abstractNumId w:val="21"/>
  </w:num>
  <w:num w:numId="19">
    <w:abstractNumId w:val="15"/>
  </w:num>
  <w:num w:numId="20">
    <w:abstractNumId w:val="17"/>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C4"/>
    <w:rsid w:val="00005C6D"/>
    <w:rsid w:val="00005E4E"/>
    <w:rsid w:val="00010D74"/>
    <w:rsid w:val="00011D94"/>
    <w:rsid w:val="00030044"/>
    <w:rsid w:val="00031D9E"/>
    <w:rsid w:val="000343E1"/>
    <w:rsid w:val="0003681F"/>
    <w:rsid w:val="00040012"/>
    <w:rsid w:val="00041984"/>
    <w:rsid w:val="000512FB"/>
    <w:rsid w:val="00060239"/>
    <w:rsid w:val="0006316C"/>
    <w:rsid w:val="00071CA1"/>
    <w:rsid w:val="00092198"/>
    <w:rsid w:val="000B1117"/>
    <w:rsid w:val="000C2B5F"/>
    <w:rsid w:val="000C5872"/>
    <w:rsid w:val="000D6581"/>
    <w:rsid w:val="000E661D"/>
    <w:rsid w:val="000F4FBB"/>
    <w:rsid w:val="000F5864"/>
    <w:rsid w:val="00103F7D"/>
    <w:rsid w:val="00112900"/>
    <w:rsid w:val="00121FFB"/>
    <w:rsid w:val="00122D57"/>
    <w:rsid w:val="00127B53"/>
    <w:rsid w:val="00133313"/>
    <w:rsid w:val="00140391"/>
    <w:rsid w:val="00141516"/>
    <w:rsid w:val="0014637E"/>
    <w:rsid w:val="00147CE1"/>
    <w:rsid w:val="00156F52"/>
    <w:rsid w:val="001612E0"/>
    <w:rsid w:val="001725ED"/>
    <w:rsid w:val="001754EC"/>
    <w:rsid w:val="00176011"/>
    <w:rsid w:val="0018638E"/>
    <w:rsid w:val="0019050B"/>
    <w:rsid w:val="00195D38"/>
    <w:rsid w:val="00195D58"/>
    <w:rsid w:val="00196250"/>
    <w:rsid w:val="001A67B5"/>
    <w:rsid w:val="001B1CC3"/>
    <w:rsid w:val="001B52CB"/>
    <w:rsid w:val="001C6DCB"/>
    <w:rsid w:val="001D7ADB"/>
    <w:rsid w:val="001E02A3"/>
    <w:rsid w:val="001E677F"/>
    <w:rsid w:val="001F05FF"/>
    <w:rsid w:val="001F1D8A"/>
    <w:rsid w:val="001F53DE"/>
    <w:rsid w:val="001F660A"/>
    <w:rsid w:val="002008EC"/>
    <w:rsid w:val="00210B42"/>
    <w:rsid w:val="00214B01"/>
    <w:rsid w:val="00214F9F"/>
    <w:rsid w:val="00215CAE"/>
    <w:rsid w:val="0022322E"/>
    <w:rsid w:val="00223BE0"/>
    <w:rsid w:val="00226B11"/>
    <w:rsid w:val="00232833"/>
    <w:rsid w:val="00235BAB"/>
    <w:rsid w:val="0023792C"/>
    <w:rsid w:val="00240F14"/>
    <w:rsid w:val="00241EAD"/>
    <w:rsid w:val="002425CA"/>
    <w:rsid w:val="00247D6C"/>
    <w:rsid w:val="00254A8A"/>
    <w:rsid w:val="00255764"/>
    <w:rsid w:val="00270A77"/>
    <w:rsid w:val="00272A28"/>
    <w:rsid w:val="002821CE"/>
    <w:rsid w:val="00290FB7"/>
    <w:rsid w:val="002911A9"/>
    <w:rsid w:val="002977E7"/>
    <w:rsid w:val="002A0268"/>
    <w:rsid w:val="002B610E"/>
    <w:rsid w:val="002B6841"/>
    <w:rsid w:val="002C28E3"/>
    <w:rsid w:val="002C31B4"/>
    <w:rsid w:val="002E289A"/>
    <w:rsid w:val="002F05F2"/>
    <w:rsid w:val="00303670"/>
    <w:rsid w:val="00303E28"/>
    <w:rsid w:val="00303FE3"/>
    <w:rsid w:val="003047DD"/>
    <w:rsid w:val="00314FA1"/>
    <w:rsid w:val="003156D3"/>
    <w:rsid w:val="00320D8F"/>
    <w:rsid w:val="00321A0A"/>
    <w:rsid w:val="00322FA2"/>
    <w:rsid w:val="003265F7"/>
    <w:rsid w:val="00327BE1"/>
    <w:rsid w:val="003321D5"/>
    <w:rsid w:val="003502D5"/>
    <w:rsid w:val="00356A46"/>
    <w:rsid w:val="003677CD"/>
    <w:rsid w:val="00372503"/>
    <w:rsid w:val="00380EB8"/>
    <w:rsid w:val="00387479"/>
    <w:rsid w:val="003915D0"/>
    <w:rsid w:val="00393C99"/>
    <w:rsid w:val="00394E41"/>
    <w:rsid w:val="00396F46"/>
    <w:rsid w:val="003A4301"/>
    <w:rsid w:val="003B7B9F"/>
    <w:rsid w:val="003C09FE"/>
    <w:rsid w:val="003D43C4"/>
    <w:rsid w:val="003D4CBC"/>
    <w:rsid w:val="003D5E56"/>
    <w:rsid w:val="003E2E5C"/>
    <w:rsid w:val="003E5CAF"/>
    <w:rsid w:val="003E7AAA"/>
    <w:rsid w:val="003F63B0"/>
    <w:rsid w:val="00401649"/>
    <w:rsid w:val="0040314E"/>
    <w:rsid w:val="00405CA3"/>
    <w:rsid w:val="00420347"/>
    <w:rsid w:val="00422715"/>
    <w:rsid w:val="00431604"/>
    <w:rsid w:val="004414C2"/>
    <w:rsid w:val="00441D74"/>
    <w:rsid w:val="0044630F"/>
    <w:rsid w:val="00447055"/>
    <w:rsid w:val="00450FC3"/>
    <w:rsid w:val="0045449E"/>
    <w:rsid w:val="004623C0"/>
    <w:rsid w:val="00467786"/>
    <w:rsid w:val="00472678"/>
    <w:rsid w:val="004831D2"/>
    <w:rsid w:val="004958F8"/>
    <w:rsid w:val="004A4BB0"/>
    <w:rsid w:val="004B58D0"/>
    <w:rsid w:val="004D1283"/>
    <w:rsid w:val="004E08B6"/>
    <w:rsid w:val="004E30FF"/>
    <w:rsid w:val="004E439C"/>
    <w:rsid w:val="004E51D3"/>
    <w:rsid w:val="004E6467"/>
    <w:rsid w:val="004E6DC3"/>
    <w:rsid w:val="004F2FEA"/>
    <w:rsid w:val="004F5374"/>
    <w:rsid w:val="005016E7"/>
    <w:rsid w:val="00512588"/>
    <w:rsid w:val="005175CA"/>
    <w:rsid w:val="005272E7"/>
    <w:rsid w:val="00532DAD"/>
    <w:rsid w:val="0055008A"/>
    <w:rsid w:val="00554559"/>
    <w:rsid w:val="00554CA5"/>
    <w:rsid w:val="00557262"/>
    <w:rsid w:val="00562FEA"/>
    <w:rsid w:val="0056341C"/>
    <w:rsid w:val="00573B8F"/>
    <w:rsid w:val="00574361"/>
    <w:rsid w:val="00575BD4"/>
    <w:rsid w:val="00582AC4"/>
    <w:rsid w:val="00596C87"/>
    <w:rsid w:val="005B23A9"/>
    <w:rsid w:val="005B4D9B"/>
    <w:rsid w:val="005B674F"/>
    <w:rsid w:val="005C1C42"/>
    <w:rsid w:val="005C24AB"/>
    <w:rsid w:val="005D7FC8"/>
    <w:rsid w:val="005F5589"/>
    <w:rsid w:val="005F567B"/>
    <w:rsid w:val="005F592F"/>
    <w:rsid w:val="00603293"/>
    <w:rsid w:val="00605538"/>
    <w:rsid w:val="006077C7"/>
    <w:rsid w:val="006110ED"/>
    <w:rsid w:val="006114B3"/>
    <w:rsid w:val="006128C7"/>
    <w:rsid w:val="00613B48"/>
    <w:rsid w:val="00616952"/>
    <w:rsid w:val="0062433C"/>
    <w:rsid w:val="006324C0"/>
    <w:rsid w:val="00633C1B"/>
    <w:rsid w:val="00636C7E"/>
    <w:rsid w:val="00637BA5"/>
    <w:rsid w:val="006434E0"/>
    <w:rsid w:val="00643AFB"/>
    <w:rsid w:val="006525CC"/>
    <w:rsid w:val="0065423B"/>
    <w:rsid w:val="00657608"/>
    <w:rsid w:val="006616AE"/>
    <w:rsid w:val="00662751"/>
    <w:rsid w:val="006653F9"/>
    <w:rsid w:val="00665940"/>
    <w:rsid w:val="00666928"/>
    <w:rsid w:val="00670489"/>
    <w:rsid w:val="00670532"/>
    <w:rsid w:val="00682308"/>
    <w:rsid w:val="00690641"/>
    <w:rsid w:val="00695BF3"/>
    <w:rsid w:val="006967C3"/>
    <w:rsid w:val="00697B1C"/>
    <w:rsid w:val="006A6CF9"/>
    <w:rsid w:val="006A7B8A"/>
    <w:rsid w:val="006C5D2B"/>
    <w:rsid w:val="006E094E"/>
    <w:rsid w:val="006F0EDA"/>
    <w:rsid w:val="006F1189"/>
    <w:rsid w:val="006F1E88"/>
    <w:rsid w:val="006F274B"/>
    <w:rsid w:val="00701BBA"/>
    <w:rsid w:val="007037AE"/>
    <w:rsid w:val="007037FB"/>
    <w:rsid w:val="0071204F"/>
    <w:rsid w:val="00723801"/>
    <w:rsid w:val="00724987"/>
    <w:rsid w:val="00727407"/>
    <w:rsid w:val="007359D8"/>
    <w:rsid w:val="00736CD6"/>
    <w:rsid w:val="007469A1"/>
    <w:rsid w:val="007474E9"/>
    <w:rsid w:val="007475A9"/>
    <w:rsid w:val="00750F20"/>
    <w:rsid w:val="0075398F"/>
    <w:rsid w:val="00754C16"/>
    <w:rsid w:val="0076020D"/>
    <w:rsid w:val="007623F6"/>
    <w:rsid w:val="00764166"/>
    <w:rsid w:val="00766196"/>
    <w:rsid w:val="00767E8F"/>
    <w:rsid w:val="00771697"/>
    <w:rsid w:val="00774CBD"/>
    <w:rsid w:val="007778E3"/>
    <w:rsid w:val="00782573"/>
    <w:rsid w:val="007831EF"/>
    <w:rsid w:val="00783911"/>
    <w:rsid w:val="007A4CAD"/>
    <w:rsid w:val="007A5FDC"/>
    <w:rsid w:val="007A7C6D"/>
    <w:rsid w:val="007B1A28"/>
    <w:rsid w:val="007B2494"/>
    <w:rsid w:val="007B5BE5"/>
    <w:rsid w:val="007B6FBC"/>
    <w:rsid w:val="007C5191"/>
    <w:rsid w:val="007D3377"/>
    <w:rsid w:val="007D3890"/>
    <w:rsid w:val="007D4A44"/>
    <w:rsid w:val="007D5D6B"/>
    <w:rsid w:val="007E2137"/>
    <w:rsid w:val="007E7619"/>
    <w:rsid w:val="007F1E64"/>
    <w:rsid w:val="007F3629"/>
    <w:rsid w:val="007F3F40"/>
    <w:rsid w:val="007F4207"/>
    <w:rsid w:val="007F60D4"/>
    <w:rsid w:val="007F7A30"/>
    <w:rsid w:val="008120E4"/>
    <w:rsid w:val="00812118"/>
    <w:rsid w:val="008121A4"/>
    <w:rsid w:val="00827C86"/>
    <w:rsid w:val="00835939"/>
    <w:rsid w:val="00841C4B"/>
    <w:rsid w:val="008460E0"/>
    <w:rsid w:val="00846758"/>
    <w:rsid w:val="00851B2E"/>
    <w:rsid w:val="00855FF9"/>
    <w:rsid w:val="00861FD6"/>
    <w:rsid w:val="008629C4"/>
    <w:rsid w:val="00864723"/>
    <w:rsid w:val="00865AC8"/>
    <w:rsid w:val="008802D7"/>
    <w:rsid w:val="00881DDF"/>
    <w:rsid w:val="0088366F"/>
    <w:rsid w:val="00884960"/>
    <w:rsid w:val="00890063"/>
    <w:rsid w:val="00890E4B"/>
    <w:rsid w:val="008A135F"/>
    <w:rsid w:val="008A3747"/>
    <w:rsid w:val="008B14BC"/>
    <w:rsid w:val="008B393B"/>
    <w:rsid w:val="008B3B56"/>
    <w:rsid w:val="008B6089"/>
    <w:rsid w:val="008D3ADB"/>
    <w:rsid w:val="008D6C44"/>
    <w:rsid w:val="008D6D48"/>
    <w:rsid w:val="008D6FF4"/>
    <w:rsid w:val="008E1531"/>
    <w:rsid w:val="008E3220"/>
    <w:rsid w:val="008E4E9E"/>
    <w:rsid w:val="008F3DDD"/>
    <w:rsid w:val="008F64BD"/>
    <w:rsid w:val="00900CCF"/>
    <w:rsid w:val="00902AF4"/>
    <w:rsid w:val="00902EA5"/>
    <w:rsid w:val="00913FDC"/>
    <w:rsid w:val="00921F4C"/>
    <w:rsid w:val="00924E1A"/>
    <w:rsid w:val="009265CD"/>
    <w:rsid w:val="00932769"/>
    <w:rsid w:val="00941A50"/>
    <w:rsid w:val="00947B46"/>
    <w:rsid w:val="00950EF5"/>
    <w:rsid w:val="00956339"/>
    <w:rsid w:val="00971757"/>
    <w:rsid w:val="00971A80"/>
    <w:rsid w:val="009820FC"/>
    <w:rsid w:val="009949C2"/>
    <w:rsid w:val="009955A7"/>
    <w:rsid w:val="009A010E"/>
    <w:rsid w:val="009A32FA"/>
    <w:rsid w:val="009B0B26"/>
    <w:rsid w:val="009B3E4C"/>
    <w:rsid w:val="009B627C"/>
    <w:rsid w:val="009C4502"/>
    <w:rsid w:val="009C4E06"/>
    <w:rsid w:val="009D7C31"/>
    <w:rsid w:val="009E05E8"/>
    <w:rsid w:val="00A07C8F"/>
    <w:rsid w:val="00A15A8D"/>
    <w:rsid w:val="00A20D3C"/>
    <w:rsid w:val="00A26CDE"/>
    <w:rsid w:val="00A36F5E"/>
    <w:rsid w:val="00A4090B"/>
    <w:rsid w:val="00A43EF6"/>
    <w:rsid w:val="00A57267"/>
    <w:rsid w:val="00A71B61"/>
    <w:rsid w:val="00A738FA"/>
    <w:rsid w:val="00A74E6A"/>
    <w:rsid w:val="00A775F0"/>
    <w:rsid w:val="00A81A93"/>
    <w:rsid w:val="00A8656C"/>
    <w:rsid w:val="00A86A84"/>
    <w:rsid w:val="00A976B5"/>
    <w:rsid w:val="00AB22B7"/>
    <w:rsid w:val="00AC02AE"/>
    <w:rsid w:val="00AC4458"/>
    <w:rsid w:val="00AD418C"/>
    <w:rsid w:val="00AD5E13"/>
    <w:rsid w:val="00AD745E"/>
    <w:rsid w:val="00AE15A6"/>
    <w:rsid w:val="00AE4961"/>
    <w:rsid w:val="00AE751A"/>
    <w:rsid w:val="00AF04EA"/>
    <w:rsid w:val="00AF4602"/>
    <w:rsid w:val="00AF6678"/>
    <w:rsid w:val="00AF76A9"/>
    <w:rsid w:val="00B00E21"/>
    <w:rsid w:val="00B2087E"/>
    <w:rsid w:val="00B215E6"/>
    <w:rsid w:val="00B26F16"/>
    <w:rsid w:val="00B35D3E"/>
    <w:rsid w:val="00B42CAD"/>
    <w:rsid w:val="00B430B7"/>
    <w:rsid w:val="00B477ED"/>
    <w:rsid w:val="00B47ADD"/>
    <w:rsid w:val="00B52A78"/>
    <w:rsid w:val="00B768E0"/>
    <w:rsid w:val="00B779C2"/>
    <w:rsid w:val="00B779F9"/>
    <w:rsid w:val="00B81303"/>
    <w:rsid w:val="00B85EE7"/>
    <w:rsid w:val="00B91F6B"/>
    <w:rsid w:val="00B926C9"/>
    <w:rsid w:val="00B926CB"/>
    <w:rsid w:val="00BA197F"/>
    <w:rsid w:val="00BB20FE"/>
    <w:rsid w:val="00BB6C56"/>
    <w:rsid w:val="00BC3449"/>
    <w:rsid w:val="00BC44C2"/>
    <w:rsid w:val="00BC68AF"/>
    <w:rsid w:val="00BD5FD8"/>
    <w:rsid w:val="00BD5FFF"/>
    <w:rsid w:val="00BD75B0"/>
    <w:rsid w:val="00BF410C"/>
    <w:rsid w:val="00BF761E"/>
    <w:rsid w:val="00C010EE"/>
    <w:rsid w:val="00C02E46"/>
    <w:rsid w:val="00C037A8"/>
    <w:rsid w:val="00C04723"/>
    <w:rsid w:val="00C05EEF"/>
    <w:rsid w:val="00C12ED2"/>
    <w:rsid w:val="00C1348C"/>
    <w:rsid w:val="00C163A4"/>
    <w:rsid w:val="00C26043"/>
    <w:rsid w:val="00C26467"/>
    <w:rsid w:val="00C34174"/>
    <w:rsid w:val="00C351B4"/>
    <w:rsid w:val="00C3523E"/>
    <w:rsid w:val="00C41F32"/>
    <w:rsid w:val="00C4440C"/>
    <w:rsid w:val="00C454AF"/>
    <w:rsid w:val="00C53654"/>
    <w:rsid w:val="00C53C7E"/>
    <w:rsid w:val="00C5465A"/>
    <w:rsid w:val="00C55798"/>
    <w:rsid w:val="00C57927"/>
    <w:rsid w:val="00C613FA"/>
    <w:rsid w:val="00C64652"/>
    <w:rsid w:val="00C6691B"/>
    <w:rsid w:val="00C73413"/>
    <w:rsid w:val="00C81D0D"/>
    <w:rsid w:val="00C82ECC"/>
    <w:rsid w:val="00C873F8"/>
    <w:rsid w:val="00C90D49"/>
    <w:rsid w:val="00CA008D"/>
    <w:rsid w:val="00CC3C24"/>
    <w:rsid w:val="00CD3721"/>
    <w:rsid w:val="00CE021B"/>
    <w:rsid w:val="00CE2691"/>
    <w:rsid w:val="00CE2CE2"/>
    <w:rsid w:val="00CE6751"/>
    <w:rsid w:val="00D00475"/>
    <w:rsid w:val="00D07073"/>
    <w:rsid w:val="00D152B0"/>
    <w:rsid w:val="00D174BF"/>
    <w:rsid w:val="00D17D17"/>
    <w:rsid w:val="00D21356"/>
    <w:rsid w:val="00D2249D"/>
    <w:rsid w:val="00D33879"/>
    <w:rsid w:val="00D37CE8"/>
    <w:rsid w:val="00D424F3"/>
    <w:rsid w:val="00D516C1"/>
    <w:rsid w:val="00D70C89"/>
    <w:rsid w:val="00D81067"/>
    <w:rsid w:val="00D82C3E"/>
    <w:rsid w:val="00D92D86"/>
    <w:rsid w:val="00DA13B5"/>
    <w:rsid w:val="00DA168F"/>
    <w:rsid w:val="00DA7A12"/>
    <w:rsid w:val="00DB4652"/>
    <w:rsid w:val="00DB51C6"/>
    <w:rsid w:val="00DB7479"/>
    <w:rsid w:val="00DC08DC"/>
    <w:rsid w:val="00DC2216"/>
    <w:rsid w:val="00DC5930"/>
    <w:rsid w:val="00DC702F"/>
    <w:rsid w:val="00DD3E82"/>
    <w:rsid w:val="00DD4C7E"/>
    <w:rsid w:val="00DF2F56"/>
    <w:rsid w:val="00DF4B59"/>
    <w:rsid w:val="00DF676B"/>
    <w:rsid w:val="00E01673"/>
    <w:rsid w:val="00E132CD"/>
    <w:rsid w:val="00E20612"/>
    <w:rsid w:val="00E219B0"/>
    <w:rsid w:val="00E37C2D"/>
    <w:rsid w:val="00E37E7E"/>
    <w:rsid w:val="00E412A9"/>
    <w:rsid w:val="00E41972"/>
    <w:rsid w:val="00E430B9"/>
    <w:rsid w:val="00E47AA2"/>
    <w:rsid w:val="00E533AD"/>
    <w:rsid w:val="00E56D94"/>
    <w:rsid w:val="00E60DE6"/>
    <w:rsid w:val="00E728AD"/>
    <w:rsid w:val="00E72BD3"/>
    <w:rsid w:val="00E73616"/>
    <w:rsid w:val="00E73DF8"/>
    <w:rsid w:val="00E802AF"/>
    <w:rsid w:val="00E82C95"/>
    <w:rsid w:val="00E84E50"/>
    <w:rsid w:val="00E873B8"/>
    <w:rsid w:val="00E87F3C"/>
    <w:rsid w:val="00EA6D00"/>
    <w:rsid w:val="00EB6D45"/>
    <w:rsid w:val="00EC0C7B"/>
    <w:rsid w:val="00EC4D38"/>
    <w:rsid w:val="00EC7B99"/>
    <w:rsid w:val="00ED1784"/>
    <w:rsid w:val="00ED4D01"/>
    <w:rsid w:val="00ED6FAA"/>
    <w:rsid w:val="00EF0BEB"/>
    <w:rsid w:val="00EF1FBC"/>
    <w:rsid w:val="00F02D5B"/>
    <w:rsid w:val="00F04532"/>
    <w:rsid w:val="00F112FC"/>
    <w:rsid w:val="00F11416"/>
    <w:rsid w:val="00F127CF"/>
    <w:rsid w:val="00F17853"/>
    <w:rsid w:val="00F26A65"/>
    <w:rsid w:val="00F30D81"/>
    <w:rsid w:val="00F32245"/>
    <w:rsid w:val="00F34687"/>
    <w:rsid w:val="00F426EA"/>
    <w:rsid w:val="00F50E2E"/>
    <w:rsid w:val="00F53F8B"/>
    <w:rsid w:val="00F569F4"/>
    <w:rsid w:val="00F6026C"/>
    <w:rsid w:val="00F62986"/>
    <w:rsid w:val="00F7140D"/>
    <w:rsid w:val="00F8130D"/>
    <w:rsid w:val="00F84960"/>
    <w:rsid w:val="00F86551"/>
    <w:rsid w:val="00F90309"/>
    <w:rsid w:val="00F90C59"/>
    <w:rsid w:val="00FA3A30"/>
    <w:rsid w:val="00FB04F5"/>
    <w:rsid w:val="00FB39A0"/>
    <w:rsid w:val="00FD4728"/>
    <w:rsid w:val="00FF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65BD05"/>
  <w15:docId w15:val="{426605F2-2349-4C6F-B49B-3672BAF0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29C4"/>
    <w:pPr>
      <w:spacing w:after="120" w:line="240" w:lineRule="auto"/>
    </w:pPr>
    <w:rPr>
      <w:rFonts w:ascii="Calibri" w:eastAsia="Times New Roman" w:hAnsi="Calibri" w:cs="Times New Roman"/>
      <w:szCs w:val="24"/>
    </w:rPr>
  </w:style>
  <w:style w:type="paragraph" w:styleId="Heading1">
    <w:name w:val="heading 1"/>
    <w:basedOn w:val="Normal"/>
    <w:next w:val="Normal"/>
    <w:link w:val="Heading1Char"/>
    <w:qFormat/>
    <w:rsid w:val="008629C4"/>
    <w:pPr>
      <w:keepNext/>
      <w:spacing w:before="360" w:after="60"/>
      <w:contextualSpacing/>
      <w:outlineLvl w:val="0"/>
    </w:pPr>
    <w:rPr>
      <w:rFonts w:ascii="Arial Black" w:hAnsi="Arial Black"/>
      <w:b/>
      <w:bCs/>
      <w:color w:val="015696"/>
      <w:kern w:val="32"/>
      <w:sz w:val="48"/>
      <w:szCs w:val="32"/>
      <w:lang w:val="x-none" w:eastAsia="x-none"/>
    </w:rPr>
  </w:style>
  <w:style w:type="paragraph" w:styleId="Heading2">
    <w:name w:val="heading 2"/>
    <w:basedOn w:val="Heading1"/>
    <w:next w:val="Normal"/>
    <w:link w:val="Heading2Char"/>
    <w:qFormat/>
    <w:rsid w:val="008629C4"/>
    <w:pPr>
      <w:spacing w:before="240"/>
      <w:outlineLvl w:val="1"/>
    </w:pPr>
    <w:rPr>
      <w:rFonts w:ascii="Myriad Pro" w:hAnsi="Myriad Pro"/>
      <w:b w:val="0"/>
      <w:bCs w:val="0"/>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9C4"/>
    <w:rPr>
      <w:rFonts w:ascii="Arial Black" w:eastAsia="Times New Roman" w:hAnsi="Arial Black" w:cs="Times New Roman"/>
      <w:b/>
      <w:bCs/>
      <w:color w:val="015696"/>
      <w:kern w:val="32"/>
      <w:sz w:val="48"/>
      <w:szCs w:val="32"/>
      <w:lang w:val="x-none" w:eastAsia="x-none"/>
    </w:rPr>
  </w:style>
  <w:style w:type="character" w:customStyle="1" w:styleId="Heading2Char">
    <w:name w:val="Heading 2 Char"/>
    <w:basedOn w:val="DefaultParagraphFont"/>
    <w:link w:val="Heading2"/>
    <w:rsid w:val="008629C4"/>
    <w:rPr>
      <w:rFonts w:ascii="Myriad Pro" w:eastAsia="Times New Roman" w:hAnsi="Myriad Pro" w:cs="Times New Roman"/>
      <w:iCs/>
      <w:color w:val="015696"/>
      <w:kern w:val="32"/>
      <w:sz w:val="32"/>
      <w:szCs w:val="28"/>
      <w:lang w:val="x-none" w:eastAsia="x-none"/>
    </w:rPr>
  </w:style>
  <w:style w:type="paragraph" w:styleId="Header">
    <w:name w:val="header"/>
    <w:basedOn w:val="Normal"/>
    <w:link w:val="HeaderChar"/>
    <w:rsid w:val="008629C4"/>
    <w:pPr>
      <w:tabs>
        <w:tab w:val="center" w:pos="4320"/>
        <w:tab w:val="right" w:pos="8640"/>
      </w:tabs>
    </w:pPr>
  </w:style>
  <w:style w:type="character" w:customStyle="1" w:styleId="HeaderChar">
    <w:name w:val="Header Char"/>
    <w:basedOn w:val="DefaultParagraphFont"/>
    <w:link w:val="Header"/>
    <w:rsid w:val="008629C4"/>
    <w:rPr>
      <w:rFonts w:ascii="Calibri" w:eastAsia="Times New Roman" w:hAnsi="Calibri" w:cs="Times New Roman"/>
      <w:szCs w:val="24"/>
    </w:rPr>
  </w:style>
  <w:style w:type="paragraph" w:styleId="Footer">
    <w:name w:val="footer"/>
    <w:basedOn w:val="Normal"/>
    <w:link w:val="FooterChar"/>
    <w:rsid w:val="008629C4"/>
    <w:pPr>
      <w:tabs>
        <w:tab w:val="center" w:pos="4320"/>
        <w:tab w:val="right" w:pos="8640"/>
      </w:tabs>
    </w:pPr>
  </w:style>
  <w:style w:type="character" w:customStyle="1" w:styleId="FooterChar">
    <w:name w:val="Footer Char"/>
    <w:basedOn w:val="DefaultParagraphFont"/>
    <w:link w:val="Footer"/>
    <w:rsid w:val="008629C4"/>
    <w:rPr>
      <w:rFonts w:ascii="Calibri" w:eastAsia="Times New Roman" w:hAnsi="Calibri" w:cs="Times New Roman"/>
      <w:szCs w:val="24"/>
    </w:rPr>
  </w:style>
  <w:style w:type="paragraph" w:styleId="Title">
    <w:name w:val="Title"/>
    <w:basedOn w:val="Normal"/>
    <w:next w:val="Normal"/>
    <w:link w:val="TitleChar"/>
    <w:qFormat/>
    <w:rsid w:val="008629C4"/>
    <w:pPr>
      <w:shd w:val="clear" w:color="auto" w:fill="015696"/>
      <w:spacing w:before="240"/>
      <w:outlineLvl w:val="0"/>
    </w:pPr>
    <w:rPr>
      <w:rFonts w:ascii="Arial Black" w:hAnsi="Arial Black"/>
      <w:b/>
      <w:bCs/>
      <w:color w:val="FFFFFF"/>
      <w:kern w:val="28"/>
      <w:sz w:val="72"/>
      <w:szCs w:val="72"/>
      <w:lang w:val="x-none" w:eastAsia="x-none"/>
    </w:rPr>
  </w:style>
  <w:style w:type="character" w:customStyle="1" w:styleId="TitleChar">
    <w:name w:val="Title Char"/>
    <w:basedOn w:val="DefaultParagraphFont"/>
    <w:link w:val="Title"/>
    <w:rsid w:val="008629C4"/>
    <w:rPr>
      <w:rFonts w:ascii="Arial Black" w:eastAsia="Times New Roman" w:hAnsi="Arial Black" w:cs="Times New Roman"/>
      <w:b/>
      <w:bCs/>
      <w:color w:val="FFFFFF"/>
      <w:kern w:val="28"/>
      <w:sz w:val="72"/>
      <w:szCs w:val="72"/>
      <w:shd w:val="clear" w:color="auto" w:fill="015696"/>
      <w:lang w:val="x-none" w:eastAsia="x-none"/>
    </w:rPr>
  </w:style>
  <w:style w:type="paragraph" w:styleId="BodyText">
    <w:name w:val="Body Text"/>
    <w:basedOn w:val="Normal"/>
    <w:link w:val="BodyTextChar"/>
    <w:uiPriority w:val="99"/>
    <w:unhideWhenUsed/>
    <w:rsid w:val="008629C4"/>
    <w:pPr>
      <w:spacing w:line="276" w:lineRule="auto"/>
    </w:pPr>
    <w:rPr>
      <w:rFonts w:ascii="Times New Roman" w:eastAsia="Calibri" w:hAnsi="Times New Roman"/>
      <w:sz w:val="24"/>
      <w:szCs w:val="22"/>
    </w:rPr>
  </w:style>
  <w:style w:type="character" w:customStyle="1" w:styleId="BodyTextChar">
    <w:name w:val="Body Text Char"/>
    <w:basedOn w:val="DefaultParagraphFont"/>
    <w:link w:val="BodyText"/>
    <w:uiPriority w:val="99"/>
    <w:rsid w:val="008629C4"/>
    <w:rPr>
      <w:rFonts w:ascii="Times New Roman" w:eastAsia="Calibri" w:hAnsi="Times New Roman" w:cs="Times New Roman"/>
      <w:sz w:val="24"/>
    </w:rPr>
  </w:style>
  <w:style w:type="character" w:styleId="Hyperlink">
    <w:name w:val="Hyperlink"/>
    <w:uiPriority w:val="99"/>
    <w:unhideWhenUsed/>
    <w:rsid w:val="008629C4"/>
    <w:rPr>
      <w:color w:val="0000FF"/>
      <w:u w:val="single"/>
    </w:rPr>
  </w:style>
  <w:style w:type="paragraph" w:styleId="FootnoteText">
    <w:name w:val="footnote text"/>
    <w:basedOn w:val="Normal"/>
    <w:link w:val="FootnoteTextChar"/>
    <w:semiHidden/>
    <w:unhideWhenUsed/>
    <w:rsid w:val="008629C4"/>
    <w:pPr>
      <w:spacing w:after="0"/>
    </w:pPr>
    <w:rPr>
      <w:sz w:val="20"/>
      <w:szCs w:val="20"/>
    </w:rPr>
  </w:style>
  <w:style w:type="character" w:customStyle="1" w:styleId="FootnoteTextChar">
    <w:name w:val="Footnote Text Char"/>
    <w:basedOn w:val="DefaultParagraphFont"/>
    <w:link w:val="FootnoteText"/>
    <w:semiHidden/>
    <w:rsid w:val="008629C4"/>
    <w:rPr>
      <w:rFonts w:ascii="Calibri" w:eastAsia="Times New Roman" w:hAnsi="Calibri" w:cs="Times New Roman"/>
      <w:sz w:val="20"/>
      <w:szCs w:val="20"/>
    </w:rPr>
  </w:style>
  <w:style w:type="character" w:styleId="FootnoteReference">
    <w:name w:val="footnote reference"/>
    <w:semiHidden/>
    <w:unhideWhenUsed/>
    <w:rsid w:val="008629C4"/>
    <w:rPr>
      <w:vertAlign w:val="superscript"/>
    </w:rPr>
  </w:style>
  <w:style w:type="character" w:styleId="Emphasis">
    <w:name w:val="Emphasis"/>
    <w:qFormat/>
    <w:rsid w:val="008629C4"/>
    <w:rPr>
      <w:i/>
      <w:iCs/>
    </w:rPr>
  </w:style>
  <w:style w:type="paragraph" w:styleId="BalloonText">
    <w:name w:val="Balloon Text"/>
    <w:basedOn w:val="Normal"/>
    <w:link w:val="BalloonTextChar"/>
    <w:uiPriority w:val="99"/>
    <w:semiHidden/>
    <w:unhideWhenUsed/>
    <w:rsid w:val="00E728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AD"/>
    <w:rPr>
      <w:rFonts w:ascii="Segoe UI" w:eastAsia="Times New Roman" w:hAnsi="Segoe UI" w:cs="Segoe UI"/>
      <w:sz w:val="18"/>
      <w:szCs w:val="18"/>
    </w:rPr>
  </w:style>
  <w:style w:type="table" w:styleId="TableGrid">
    <w:name w:val="Table Grid"/>
    <w:basedOn w:val="TableNormal"/>
    <w:uiPriority w:val="39"/>
    <w:rsid w:val="00F2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6A65"/>
    <w:pPr>
      <w:spacing w:after="160" w:line="259"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F26A65"/>
  </w:style>
  <w:style w:type="character" w:styleId="CommentReference">
    <w:name w:val="annotation reference"/>
    <w:basedOn w:val="DefaultParagraphFont"/>
    <w:uiPriority w:val="99"/>
    <w:semiHidden/>
    <w:unhideWhenUsed/>
    <w:rsid w:val="00290FB7"/>
    <w:rPr>
      <w:sz w:val="18"/>
      <w:szCs w:val="18"/>
    </w:rPr>
  </w:style>
  <w:style w:type="paragraph" w:styleId="CommentText">
    <w:name w:val="annotation text"/>
    <w:basedOn w:val="Normal"/>
    <w:link w:val="CommentTextChar"/>
    <w:uiPriority w:val="99"/>
    <w:semiHidden/>
    <w:unhideWhenUsed/>
    <w:rsid w:val="00290FB7"/>
    <w:rPr>
      <w:sz w:val="24"/>
    </w:rPr>
  </w:style>
  <w:style w:type="character" w:customStyle="1" w:styleId="CommentTextChar">
    <w:name w:val="Comment Text Char"/>
    <w:basedOn w:val="DefaultParagraphFont"/>
    <w:link w:val="CommentText"/>
    <w:uiPriority w:val="99"/>
    <w:semiHidden/>
    <w:rsid w:val="00290FB7"/>
    <w:rPr>
      <w:rFonts w:ascii="Calibri" w:eastAsia="Times New Roman" w:hAnsi="Calibri" w:cs="Times New Roman"/>
      <w:sz w:val="24"/>
      <w:szCs w:val="24"/>
    </w:rPr>
  </w:style>
  <w:style w:type="paragraph" w:styleId="CommentSubject">
    <w:name w:val="annotation subject"/>
    <w:basedOn w:val="CommentText"/>
    <w:next w:val="CommentText"/>
    <w:link w:val="CommentSubjectChar"/>
    <w:semiHidden/>
    <w:unhideWhenUsed/>
    <w:rsid w:val="00290FB7"/>
    <w:rPr>
      <w:b/>
      <w:bCs/>
      <w:sz w:val="20"/>
      <w:szCs w:val="20"/>
    </w:rPr>
  </w:style>
  <w:style w:type="character" w:customStyle="1" w:styleId="CommentSubjectChar">
    <w:name w:val="Comment Subject Char"/>
    <w:basedOn w:val="CommentTextChar"/>
    <w:link w:val="CommentSubject"/>
    <w:semiHidden/>
    <w:rsid w:val="00290FB7"/>
    <w:rPr>
      <w:rFonts w:ascii="Calibri" w:eastAsia="Times New Roman" w:hAnsi="Calibri" w:cs="Times New Roman"/>
      <w:b/>
      <w:bCs/>
      <w:sz w:val="20"/>
      <w:szCs w:val="20"/>
    </w:rPr>
  </w:style>
  <w:style w:type="paragraph" w:styleId="Revision">
    <w:name w:val="Revision"/>
    <w:hidden/>
    <w:uiPriority w:val="99"/>
    <w:semiHidden/>
    <w:rsid w:val="00290FB7"/>
    <w:pPr>
      <w:spacing w:after="0" w:line="240" w:lineRule="auto"/>
    </w:pPr>
    <w:rPr>
      <w:rFonts w:ascii="Calibri" w:eastAsia="Times New Roman" w:hAnsi="Calibri" w:cs="Times New Roman"/>
      <w:szCs w:val="24"/>
    </w:rPr>
  </w:style>
  <w:style w:type="paragraph" w:styleId="NormalWeb">
    <w:name w:val="Normal (Web)"/>
    <w:basedOn w:val="Normal"/>
    <w:uiPriority w:val="99"/>
    <w:semiHidden/>
    <w:unhideWhenUsed/>
    <w:rsid w:val="00D424F3"/>
    <w:pPr>
      <w:spacing w:before="100" w:beforeAutospacing="1" w:after="100" w:afterAutospacing="1"/>
    </w:pPr>
    <w:rPr>
      <w:rFonts w:ascii="Times New Roman" w:eastAsiaTheme="minorEastAsia" w:hAnsi="Times New Roman"/>
      <w:sz w:val="24"/>
    </w:rPr>
  </w:style>
  <w:style w:type="table" w:styleId="ColorfulGrid-Accent1">
    <w:name w:val="Colorful Grid Accent 1"/>
    <w:basedOn w:val="TableNormal"/>
    <w:semiHidden/>
    <w:unhideWhenUsed/>
    <w:rsid w:val="00D424F3"/>
    <w:pPr>
      <w:spacing w:after="0" w:line="240" w:lineRule="auto"/>
    </w:pPr>
    <w:rPr>
      <w:rFonts w:eastAsiaTheme="minorEastAsia"/>
      <w:color w:val="000000" w:themeColor="text1"/>
      <w:sz w:val="24"/>
      <w:szCs w:val="24"/>
      <w:lang w:eastAsia="ja-JP"/>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1">
    <w:name w:val="Light Shading Accent 1"/>
    <w:basedOn w:val="TableNormal"/>
    <w:uiPriority w:val="60"/>
    <w:rsid w:val="006110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151">
      <w:bodyDiv w:val="1"/>
      <w:marLeft w:val="0"/>
      <w:marRight w:val="0"/>
      <w:marTop w:val="0"/>
      <w:marBottom w:val="0"/>
      <w:divBdr>
        <w:top w:val="none" w:sz="0" w:space="0" w:color="auto"/>
        <w:left w:val="none" w:sz="0" w:space="0" w:color="auto"/>
        <w:bottom w:val="none" w:sz="0" w:space="0" w:color="auto"/>
        <w:right w:val="none" w:sz="0" w:space="0" w:color="auto"/>
      </w:divBdr>
      <w:divsChild>
        <w:div w:id="233128798">
          <w:marLeft w:val="0"/>
          <w:marRight w:val="0"/>
          <w:marTop w:val="0"/>
          <w:marBottom w:val="0"/>
          <w:divBdr>
            <w:top w:val="none" w:sz="0" w:space="0" w:color="auto"/>
            <w:left w:val="none" w:sz="0" w:space="0" w:color="auto"/>
            <w:bottom w:val="none" w:sz="0" w:space="0" w:color="auto"/>
            <w:right w:val="none" w:sz="0" w:space="0" w:color="auto"/>
          </w:divBdr>
          <w:divsChild>
            <w:div w:id="975839712">
              <w:marLeft w:val="0"/>
              <w:marRight w:val="0"/>
              <w:marTop w:val="0"/>
              <w:marBottom w:val="0"/>
              <w:divBdr>
                <w:top w:val="none" w:sz="0" w:space="0" w:color="auto"/>
                <w:left w:val="none" w:sz="0" w:space="0" w:color="auto"/>
                <w:bottom w:val="none" w:sz="0" w:space="0" w:color="auto"/>
                <w:right w:val="none" w:sz="0" w:space="0" w:color="auto"/>
              </w:divBdr>
              <w:divsChild>
                <w:div w:id="1553347562">
                  <w:marLeft w:val="0"/>
                  <w:marRight w:val="0"/>
                  <w:marTop w:val="0"/>
                  <w:marBottom w:val="0"/>
                  <w:divBdr>
                    <w:top w:val="none" w:sz="0" w:space="0" w:color="auto"/>
                    <w:left w:val="none" w:sz="0" w:space="0" w:color="auto"/>
                    <w:bottom w:val="none" w:sz="0" w:space="0" w:color="auto"/>
                    <w:right w:val="none" w:sz="0" w:space="0" w:color="auto"/>
                  </w:divBdr>
                  <w:divsChild>
                    <w:div w:id="803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0040">
      <w:bodyDiv w:val="1"/>
      <w:marLeft w:val="0"/>
      <w:marRight w:val="0"/>
      <w:marTop w:val="0"/>
      <w:marBottom w:val="0"/>
      <w:divBdr>
        <w:top w:val="none" w:sz="0" w:space="0" w:color="auto"/>
        <w:left w:val="none" w:sz="0" w:space="0" w:color="auto"/>
        <w:bottom w:val="none" w:sz="0" w:space="0" w:color="auto"/>
        <w:right w:val="none" w:sz="0" w:space="0" w:color="auto"/>
      </w:divBdr>
      <w:divsChild>
        <w:div w:id="1683121079">
          <w:marLeft w:val="0"/>
          <w:marRight w:val="0"/>
          <w:marTop w:val="0"/>
          <w:marBottom w:val="0"/>
          <w:divBdr>
            <w:top w:val="none" w:sz="0" w:space="0" w:color="auto"/>
            <w:left w:val="none" w:sz="0" w:space="0" w:color="auto"/>
            <w:bottom w:val="none" w:sz="0" w:space="0" w:color="auto"/>
            <w:right w:val="none" w:sz="0" w:space="0" w:color="auto"/>
          </w:divBdr>
          <w:divsChild>
            <w:div w:id="11231405">
              <w:marLeft w:val="0"/>
              <w:marRight w:val="0"/>
              <w:marTop w:val="0"/>
              <w:marBottom w:val="0"/>
              <w:divBdr>
                <w:top w:val="none" w:sz="0" w:space="0" w:color="auto"/>
                <w:left w:val="none" w:sz="0" w:space="0" w:color="auto"/>
                <w:bottom w:val="none" w:sz="0" w:space="0" w:color="auto"/>
                <w:right w:val="none" w:sz="0" w:space="0" w:color="auto"/>
              </w:divBdr>
              <w:divsChild>
                <w:div w:id="1930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40668">
      <w:bodyDiv w:val="1"/>
      <w:marLeft w:val="0"/>
      <w:marRight w:val="0"/>
      <w:marTop w:val="0"/>
      <w:marBottom w:val="0"/>
      <w:divBdr>
        <w:top w:val="none" w:sz="0" w:space="0" w:color="auto"/>
        <w:left w:val="none" w:sz="0" w:space="0" w:color="auto"/>
        <w:bottom w:val="none" w:sz="0" w:space="0" w:color="auto"/>
        <w:right w:val="none" w:sz="0" w:space="0" w:color="auto"/>
      </w:divBdr>
      <w:divsChild>
        <w:div w:id="690690173">
          <w:marLeft w:val="0"/>
          <w:marRight w:val="0"/>
          <w:marTop w:val="0"/>
          <w:marBottom w:val="0"/>
          <w:divBdr>
            <w:top w:val="none" w:sz="0" w:space="0" w:color="auto"/>
            <w:left w:val="none" w:sz="0" w:space="0" w:color="auto"/>
            <w:bottom w:val="none" w:sz="0" w:space="0" w:color="auto"/>
            <w:right w:val="none" w:sz="0" w:space="0" w:color="auto"/>
          </w:divBdr>
          <w:divsChild>
            <w:div w:id="737023202">
              <w:marLeft w:val="0"/>
              <w:marRight w:val="0"/>
              <w:marTop w:val="0"/>
              <w:marBottom w:val="0"/>
              <w:divBdr>
                <w:top w:val="none" w:sz="0" w:space="0" w:color="auto"/>
                <w:left w:val="none" w:sz="0" w:space="0" w:color="auto"/>
                <w:bottom w:val="none" w:sz="0" w:space="0" w:color="auto"/>
                <w:right w:val="none" w:sz="0" w:space="0" w:color="auto"/>
              </w:divBdr>
              <w:divsChild>
                <w:div w:id="16022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0363">
      <w:bodyDiv w:val="1"/>
      <w:marLeft w:val="0"/>
      <w:marRight w:val="0"/>
      <w:marTop w:val="0"/>
      <w:marBottom w:val="0"/>
      <w:divBdr>
        <w:top w:val="none" w:sz="0" w:space="0" w:color="auto"/>
        <w:left w:val="none" w:sz="0" w:space="0" w:color="auto"/>
        <w:bottom w:val="none" w:sz="0" w:space="0" w:color="auto"/>
        <w:right w:val="none" w:sz="0" w:space="0" w:color="auto"/>
      </w:divBdr>
      <w:divsChild>
        <w:div w:id="1085877865">
          <w:marLeft w:val="0"/>
          <w:marRight w:val="0"/>
          <w:marTop w:val="0"/>
          <w:marBottom w:val="0"/>
          <w:divBdr>
            <w:top w:val="none" w:sz="0" w:space="0" w:color="auto"/>
            <w:left w:val="none" w:sz="0" w:space="0" w:color="auto"/>
            <w:bottom w:val="none" w:sz="0" w:space="0" w:color="auto"/>
            <w:right w:val="none" w:sz="0" w:space="0" w:color="auto"/>
          </w:divBdr>
          <w:divsChild>
            <w:div w:id="44840342">
              <w:marLeft w:val="0"/>
              <w:marRight w:val="0"/>
              <w:marTop w:val="0"/>
              <w:marBottom w:val="0"/>
              <w:divBdr>
                <w:top w:val="none" w:sz="0" w:space="0" w:color="auto"/>
                <w:left w:val="none" w:sz="0" w:space="0" w:color="auto"/>
                <w:bottom w:val="none" w:sz="0" w:space="0" w:color="auto"/>
                <w:right w:val="none" w:sz="0" w:space="0" w:color="auto"/>
              </w:divBdr>
              <w:divsChild>
                <w:div w:id="9494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1673">
      <w:bodyDiv w:val="1"/>
      <w:marLeft w:val="0"/>
      <w:marRight w:val="0"/>
      <w:marTop w:val="0"/>
      <w:marBottom w:val="0"/>
      <w:divBdr>
        <w:top w:val="none" w:sz="0" w:space="0" w:color="auto"/>
        <w:left w:val="none" w:sz="0" w:space="0" w:color="auto"/>
        <w:bottom w:val="none" w:sz="0" w:space="0" w:color="auto"/>
        <w:right w:val="none" w:sz="0" w:space="0" w:color="auto"/>
      </w:divBdr>
      <w:divsChild>
        <w:div w:id="672151193">
          <w:marLeft w:val="0"/>
          <w:marRight w:val="0"/>
          <w:marTop w:val="0"/>
          <w:marBottom w:val="0"/>
          <w:divBdr>
            <w:top w:val="none" w:sz="0" w:space="0" w:color="auto"/>
            <w:left w:val="none" w:sz="0" w:space="0" w:color="auto"/>
            <w:bottom w:val="none" w:sz="0" w:space="0" w:color="auto"/>
            <w:right w:val="none" w:sz="0" w:space="0" w:color="auto"/>
          </w:divBdr>
          <w:divsChild>
            <w:div w:id="1553494639">
              <w:marLeft w:val="0"/>
              <w:marRight w:val="0"/>
              <w:marTop w:val="0"/>
              <w:marBottom w:val="0"/>
              <w:divBdr>
                <w:top w:val="none" w:sz="0" w:space="0" w:color="auto"/>
                <w:left w:val="none" w:sz="0" w:space="0" w:color="auto"/>
                <w:bottom w:val="none" w:sz="0" w:space="0" w:color="auto"/>
                <w:right w:val="none" w:sz="0" w:space="0" w:color="auto"/>
              </w:divBdr>
              <w:divsChild>
                <w:div w:id="2114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4676">
      <w:bodyDiv w:val="1"/>
      <w:marLeft w:val="0"/>
      <w:marRight w:val="0"/>
      <w:marTop w:val="0"/>
      <w:marBottom w:val="0"/>
      <w:divBdr>
        <w:top w:val="none" w:sz="0" w:space="0" w:color="auto"/>
        <w:left w:val="none" w:sz="0" w:space="0" w:color="auto"/>
        <w:bottom w:val="none" w:sz="0" w:space="0" w:color="auto"/>
        <w:right w:val="none" w:sz="0" w:space="0" w:color="auto"/>
      </w:divBdr>
      <w:divsChild>
        <w:div w:id="1739356903">
          <w:marLeft w:val="0"/>
          <w:marRight w:val="0"/>
          <w:marTop w:val="0"/>
          <w:marBottom w:val="0"/>
          <w:divBdr>
            <w:top w:val="none" w:sz="0" w:space="0" w:color="auto"/>
            <w:left w:val="none" w:sz="0" w:space="0" w:color="auto"/>
            <w:bottom w:val="none" w:sz="0" w:space="0" w:color="auto"/>
            <w:right w:val="none" w:sz="0" w:space="0" w:color="auto"/>
          </w:divBdr>
          <w:divsChild>
            <w:div w:id="1647665321">
              <w:marLeft w:val="0"/>
              <w:marRight w:val="0"/>
              <w:marTop w:val="0"/>
              <w:marBottom w:val="0"/>
              <w:divBdr>
                <w:top w:val="none" w:sz="0" w:space="0" w:color="auto"/>
                <w:left w:val="none" w:sz="0" w:space="0" w:color="auto"/>
                <w:bottom w:val="none" w:sz="0" w:space="0" w:color="auto"/>
                <w:right w:val="none" w:sz="0" w:space="0" w:color="auto"/>
              </w:divBdr>
              <w:divsChild>
                <w:div w:id="18310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4303">
      <w:bodyDiv w:val="1"/>
      <w:marLeft w:val="0"/>
      <w:marRight w:val="0"/>
      <w:marTop w:val="0"/>
      <w:marBottom w:val="0"/>
      <w:divBdr>
        <w:top w:val="none" w:sz="0" w:space="0" w:color="auto"/>
        <w:left w:val="none" w:sz="0" w:space="0" w:color="auto"/>
        <w:bottom w:val="none" w:sz="0" w:space="0" w:color="auto"/>
        <w:right w:val="none" w:sz="0" w:space="0" w:color="auto"/>
      </w:divBdr>
    </w:div>
    <w:div w:id="663511878">
      <w:bodyDiv w:val="1"/>
      <w:marLeft w:val="0"/>
      <w:marRight w:val="0"/>
      <w:marTop w:val="0"/>
      <w:marBottom w:val="0"/>
      <w:divBdr>
        <w:top w:val="none" w:sz="0" w:space="0" w:color="auto"/>
        <w:left w:val="none" w:sz="0" w:space="0" w:color="auto"/>
        <w:bottom w:val="none" w:sz="0" w:space="0" w:color="auto"/>
        <w:right w:val="none" w:sz="0" w:space="0" w:color="auto"/>
      </w:divBdr>
    </w:div>
    <w:div w:id="689571362">
      <w:bodyDiv w:val="1"/>
      <w:marLeft w:val="0"/>
      <w:marRight w:val="0"/>
      <w:marTop w:val="0"/>
      <w:marBottom w:val="0"/>
      <w:divBdr>
        <w:top w:val="none" w:sz="0" w:space="0" w:color="auto"/>
        <w:left w:val="none" w:sz="0" w:space="0" w:color="auto"/>
        <w:bottom w:val="none" w:sz="0" w:space="0" w:color="auto"/>
        <w:right w:val="none" w:sz="0" w:space="0" w:color="auto"/>
      </w:divBdr>
      <w:divsChild>
        <w:div w:id="2117365295">
          <w:marLeft w:val="0"/>
          <w:marRight w:val="0"/>
          <w:marTop w:val="0"/>
          <w:marBottom w:val="0"/>
          <w:divBdr>
            <w:top w:val="none" w:sz="0" w:space="0" w:color="auto"/>
            <w:left w:val="none" w:sz="0" w:space="0" w:color="auto"/>
            <w:bottom w:val="none" w:sz="0" w:space="0" w:color="auto"/>
            <w:right w:val="none" w:sz="0" w:space="0" w:color="auto"/>
          </w:divBdr>
          <w:divsChild>
            <w:div w:id="1748183713">
              <w:marLeft w:val="0"/>
              <w:marRight w:val="0"/>
              <w:marTop w:val="0"/>
              <w:marBottom w:val="0"/>
              <w:divBdr>
                <w:top w:val="none" w:sz="0" w:space="0" w:color="auto"/>
                <w:left w:val="none" w:sz="0" w:space="0" w:color="auto"/>
                <w:bottom w:val="none" w:sz="0" w:space="0" w:color="auto"/>
                <w:right w:val="none" w:sz="0" w:space="0" w:color="auto"/>
              </w:divBdr>
              <w:divsChild>
                <w:div w:id="16579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633">
      <w:bodyDiv w:val="1"/>
      <w:marLeft w:val="0"/>
      <w:marRight w:val="0"/>
      <w:marTop w:val="0"/>
      <w:marBottom w:val="0"/>
      <w:divBdr>
        <w:top w:val="none" w:sz="0" w:space="0" w:color="auto"/>
        <w:left w:val="none" w:sz="0" w:space="0" w:color="auto"/>
        <w:bottom w:val="none" w:sz="0" w:space="0" w:color="auto"/>
        <w:right w:val="none" w:sz="0" w:space="0" w:color="auto"/>
      </w:divBdr>
      <w:divsChild>
        <w:div w:id="72822478">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0569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4580">
      <w:bodyDiv w:val="1"/>
      <w:marLeft w:val="0"/>
      <w:marRight w:val="0"/>
      <w:marTop w:val="0"/>
      <w:marBottom w:val="0"/>
      <w:divBdr>
        <w:top w:val="none" w:sz="0" w:space="0" w:color="auto"/>
        <w:left w:val="none" w:sz="0" w:space="0" w:color="auto"/>
        <w:bottom w:val="none" w:sz="0" w:space="0" w:color="auto"/>
        <w:right w:val="none" w:sz="0" w:space="0" w:color="auto"/>
      </w:divBdr>
      <w:divsChild>
        <w:div w:id="675572174">
          <w:marLeft w:val="0"/>
          <w:marRight w:val="0"/>
          <w:marTop w:val="0"/>
          <w:marBottom w:val="0"/>
          <w:divBdr>
            <w:top w:val="none" w:sz="0" w:space="0" w:color="auto"/>
            <w:left w:val="none" w:sz="0" w:space="0" w:color="auto"/>
            <w:bottom w:val="none" w:sz="0" w:space="0" w:color="auto"/>
            <w:right w:val="none" w:sz="0" w:space="0" w:color="auto"/>
          </w:divBdr>
          <w:divsChild>
            <w:div w:id="211237146">
              <w:marLeft w:val="0"/>
              <w:marRight w:val="0"/>
              <w:marTop w:val="0"/>
              <w:marBottom w:val="0"/>
              <w:divBdr>
                <w:top w:val="none" w:sz="0" w:space="0" w:color="auto"/>
                <w:left w:val="none" w:sz="0" w:space="0" w:color="auto"/>
                <w:bottom w:val="none" w:sz="0" w:space="0" w:color="auto"/>
                <w:right w:val="none" w:sz="0" w:space="0" w:color="auto"/>
              </w:divBdr>
              <w:divsChild>
                <w:div w:id="20531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3602">
      <w:bodyDiv w:val="1"/>
      <w:marLeft w:val="0"/>
      <w:marRight w:val="0"/>
      <w:marTop w:val="0"/>
      <w:marBottom w:val="0"/>
      <w:divBdr>
        <w:top w:val="none" w:sz="0" w:space="0" w:color="auto"/>
        <w:left w:val="none" w:sz="0" w:space="0" w:color="auto"/>
        <w:bottom w:val="none" w:sz="0" w:space="0" w:color="auto"/>
        <w:right w:val="none" w:sz="0" w:space="0" w:color="auto"/>
      </w:divBdr>
    </w:div>
    <w:div w:id="1429816004">
      <w:bodyDiv w:val="1"/>
      <w:marLeft w:val="0"/>
      <w:marRight w:val="0"/>
      <w:marTop w:val="0"/>
      <w:marBottom w:val="0"/>
      <w:divBdr>
        <w:top w:val="none" w:sz="0" w:space="0" w:color="auto"/>
        <w:left w:val="none" w:sz="0" w:space="0" w:color="auto"/>
        <w:bottom w:val="none" w:sz="0" w:space="0" w:color="auto"/>
        <w:right w:val="none" w:sz="0" w:space="0" w:color="auto"/>
      </w:divBdr>
    </w:div>
    <w:div w:id="1613588254">
      <w:bodyDiv w:val="1"/>
      <w:marLeft w:val="0"/>
      <w:marRight w:val="0"/>
      <w:marTop w:val="0"/>
      <w:marBottom w:val="0"/>
      <w:divBdr>
        <w:top w:val="none" w:sz="0" w:space="0" w:color="auto"/>
        <w:left w:val="none" w:sz="0" w:space="0" w:color="auto"/>
        <w:bottom w:val="none" w:sz="0" w:space="0" w:color="auto"/>
        <w:right w:val="none" w:sz="0" w:space="0" w:color="auto"/>
      </w:divBdr>
    </w:div>
    <w:div w:id="1641885151">
      <w:bodyDiv w:val="1"/>
      <w:marLeft w:val="0"/>
      <w:marRight w:val="0"/>
      <w:marTop w:val="0"/>
      <w:marBottom w:val="0"/>
      <w:divBdr>
        <w:top w:val="none" w:sz="0" w:space="0" w:color="auto"/>
        <w:left w:val="none" w:sz="0" w:space="0" w:color="auto"/>
        <w:bottom w:val="none" w:sz="0" w:space="0" w:color="auto"/>
        <w:right w:val="none" w:sz="0" w:space="0" w:color="auto"/>
      </w:divBdr>
      <w:divsChild>
        <w:div w:id="1059211432">
          <w:marLeft w:val="0"/>
          <w:marRight w:val="0"/>
          <w:marTop w:val="0"/>
          <w:marBottom w:val="0"/>
          <w:divBdr>
            <w:top w:val="none" w:sz="0" w:space="0" w:color="auto"/>
            <w:left w:val="none" w:sz="0" w:space="0" w:color="auto"/>
            <w:bottom w:val="none" w:sz="0" w:space="0" w:color="auto"/>
            <w:right w:val="none" w:sz="0" w:space="0" w:color="auto"/>
          </w:divBdr>
          <w:divsChild>
            <w:div w:id="108548023">
              <w:marLeft w:val="0"/>
              <w:marRight w:val="0"/>
              <w:marTop w:val="0"/>
              <w:marBottom w:val="0"/>
              <w:divBdr>
                <w:top w:val="none" w:sz="0" w:space="0" w:color="auto"/>
                <w:left w:val="none" w:sz="0" w:space="0" w:color="auto"/>
                <w:bottom w:val="none" w:sz="0" w:space="0" w:color="auto"/>
                <w:right w:val="none" w:sz="0" w:space="0" w:color="auto"/>
              </w:divBdr>
              <w:divsChild>
                <w:div w:id="18157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risphealt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2697</Words>
  <Characters>15375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Hampton</dc:creator>
  <cp:keywords/>
  <dc:description/>
  <cp:lastModifiedBy>Sharice Spinner</cp:lastModifiedBy>
  <cp:revision>2</cp:revision>
  <cp:lastPrinted>2016-09-21T19:03:00Z</cp:lastPrinted>
  <dcterms:created xsi:type="dcterms:W3CDTF">2017-03-15T21:32:00Z</dcterms:created>
  <dcterms:modified xsi:type="dcterms:W3CDTF">2017-03-15T21:32:00Z</dcterms:modified>
</cp:coreProperties>
</file>